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A364" w14:textId="0A6D902E" w:rsidR="00B15CF5" w:rsidRDefault="00D75D0C" w:rsidP="00850ED5">
      <w:pPr>
        <w:pStyle w:val="Heading1"/>
        <w:spacing w:before="0" w:line="240" w:lineRule="auto"/>
      </w:pPr>
      <w:r>
        <w:rPr>
          <w:noProof/>
        </w:rPr>
        <w:drawing>
          <wp:anchor distT="0" distB="0" distL="114300" distR="114300" simplePos="0" relativeHeight="251658240" behindDoc="1" locked="0" layoutInCell="1" allowOverlap="1" wp14:anchorId="6B28FCB8" wp14:editId="7F34753A">
            <wp:simplePos x="0" y="0"/>
            <wp:positionH relativeFrom="column">
              <wp:posOffset>4122420</wp:posOffset>
            </wp:positionH>
            <wp:positionV relativeFrom="topMargin">
              <wp:posOffset>106680</wp:posOffset>
            </wp:positionV>
            <wp:extent cx="2178000" cy="723600"/>
            <wp:effectExtent l="0" t="0" r="0" b="635"/>
            <wp:wrapNone/>
            <wp:docPr id="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000" cy="723600"/>
                    </a:xfrm>
                    <a:prstGeom prst="rect">
                      <a:avLst/>
                    </a:prstGeom>
                    <a:noFill/>
                  </pic:spPr>
                </pic:pic>
              </a:graphicData>
            </a:graphic>
            <wp14:sizeRelH relativeFrom="margin">
              <wp14:pctWidth>0</wp14:pctWidth>
            </wp14:sizeRelH>
            <wp14:sizeRelV relativeFrom="margin">
              <wp14:pctHeight>0</wp14:pctHeight>
            </wp14:sizeRelV>
          </wp:anchor>
        </w:drawing>
      </w:r>
      <w:r>
        <w:t>T</w:t>
      </w:r>
      <w:r w:rsidR="00B05540">
        <w:t>ransitional Tax-Free Amount Certificate (TT</w:t>
      </w:r>
      <w:r>
        <w:t>FAC</w:t>
      </w:r>
      <w:r w:rsidR="00B05540">
        <w:t>)</w:t>
      </w:r>
      <w:r>
        <w:t xml:space="preserve"> Notes</w:t>
      </w:r>
    </w:p>
    <w:p w14:paraId="4E198E23" w14:textId="755BCF9F" w:rsidR="004A302E" w:rsidRDefault="004A302E" w:rsidP="00601BE2">
      <w:pPr>
        <w:spacing w:after="120"/>
      </w:pPr>
      <w:r>
        <w:t xml:space="preserve">These notes will help you decide if a TTFAC is right for you and complete the </w:t>
      </w:r>
      <w:r w:rsidR="00CF3642">
        <w:t>TTFAC application</w:t>
      </w:r>
      <w:r>
        <w:t xml:space="preserve"> form should you choose to apply. </w:t>
      </w:r>
    </w:p>
    <w:p w14:paraId="5F5AD0DD" w14:textId="4FC726B5" w:rsidR="00FB2038" w:rsidRDefault="00FB2038" w:rsidP="00601BE2">
      <w:pPr>
        <w:pStyle w:val="Heading2"/>
        <w:numPr>
          <w:ilvl w:val="0"/>
          <w:numId w:val="33"/>
        </w:numPr>
        <w:spacing w:after="120"/>
        <w:ind w:left="357" w:hanging="357"/>
      </w:pPr>
      <w:r>
        <w:t>W</w:t>
      </w:r>
      <w:r w:rsidR="002F72AD">
        <w:t>hat is a TTFAC?</w:t>
      </w:r>
    </w:p>
    <w:p w14:paraId="0A5A180D" w14:textId="637374F5" w:rsidR="00FB2038" w:rsidRDefault="00FB2038" w:rsidP="00FB2038">
      <w:r w:rsidRPr="00666FC3">
        <w:t xml:space="preserve">Two lump sum </w:t>
      </w:r>
      <w:r>
        <w:t>allowances</w:t>
      </w:r>
      <w:r w:rsidRPr="00666FC3">
        <w:t xml:space="preserve"> were introduced from 6 April 2024. If the total of all lump sums you take from UK pensions is more than one of these </w:t>
      </w:r>
      <w:r>
        <w:t>allowances</w:t>
      </w:r>
      <w:r w:rsidRPr="00666FC3">
        <w:t>, you will have to pay extra tax. Tax on any excess is charged at your marginal rate</w:t>
      </w:r>
      <w:r>
        <w:t>.</w:t>
      </w:r>
    </w:p>
    <w:p w14:paraId="033EAE17" w14:textId="21A7A89C" w:rsidR="00FC3A18" w:rsidRDefault="00FB2038" w:rsidP="00964B29">
      <w:r>
        <w:t xml:space="preserve">If you took payment of a pension or lump sum before 6 April 2024, </w:t>
      </w:r>
      <w:r w:rsidR="000231CE">
        <w:t xml:space="preserve">you </w:t>
      </w:r>
      <w:proofErr w:type="gramStart"/>
      <w:r w:rsidR="000231CE">
        <w:t>will</w:t>
      </w:r>
      <w:proofErr w:type="gramEnd"/>
      <w:r>
        <w:t xml:space="preserve"> have used up part of your lump sum allowances. Under HMRC</w:t>
      </w:r>
      <w:r w:rsidR="00406BBD">
        <w:t>’s</w:t>
      </w:r>
      <w:r>
        <w:t xml:space="preserve"> rules, </w:t>
      </w:r>
      <w:r w:rsidR="00E04E24">
        <w:t>pension schemes</w:t>
      </w:r>
      <w:r>
        <w:t xml:space="preserve"> must assume </w:t>
      </w:r>
      <w:r w:rsidR="002A05C1">
        <w:t xml:space="preserve">that </w:t>
      </w:r>
      <w:r>
        <w:t>you took the maximum lump sum allowed, unless you hold a transitional tax-free amount certificate (TTFAC).</w:t>
      </w:r>
      <w:r w:rsidR="00CE049C">
        <w:t xml:space="preserve"> The maximum amount is usually 25 per cent of the value of the pension benefits you are taking.</w:t>
      </w:r>
      <w:r>
        <w:t xml:space="preserve"> </w:t>
      </w:r>
    </w:p>
    <w:p w14:paraId="6AC043C0" w14:textId="41D0C7FC" w:rsidR="00964B29" w:rsidRDefault="00FB2038" w:rsidP="00AA17F8">
      <w:pPr>
        <w:spacing w:after="120"/>
      </w:pPr>
      <w:r>
        <w:t xml:space="preserve">A TTFAC sets out the total </w:t>
      </w:r>
      <w:r w:rsidR="00F92F3E">
        <w:t xml:space="preserve">tax-free </w:t>
      </w:r>
      <w:r>
        <w:t xml:space="preserve">lump sums you </w:t>
      </w:r>
      <w:r w:rsidR="00122F18">
        <w:t>received</w:t>
      </w:r>
      <w:r w:rsidR="001521DF">
        <w:t xml:space="preserve"> – this </w:t>
      </w:r>
      <w:r w:rsidR="009F7956">
        <w:t xml:space="preserve">allows pension schemes </w:t>
      </w:r>
      <w:r>
        <w:t>to</w:t>
      </w:r>
      <w:r w:rsidR="0026182C">
        <w:t xml:space="preserve"> accurately work out how much </w:t>
      </w:r>
      <w:r w:rsidR="00F45437">
        <w:t xml:space="preserve">of the </w:t>
      </w:r>
      <w:r w:rsidR="0026182C">
        <w:t>lump sum allowance</w:t>
      </w:r>
      <w:r w:rsidR="00F45437">
        <w:t>s</w:t>
      </w:r>
      <w:r>
        <w:t xml:space="preserve"> </w:t>
      </w:r>
      <w:r w:rsidR="00F07ADD">
        <w:t xml:space="preserve">you </w:t>
      </w:r>
      <w:r w:rsidR="00F45437">
        <w:t xml:space="preserve">have </w:t>
      </w:r>
      <w:r w:rsidR="00BD53CD">
        <w:t>used</w:t>
      </w:r>
      <w:r w:rsidR="00F45437">
        <w:t xml:space="preserve">, </w:t>
      </w:r>
      <w:r>
        <w:t xml:space="preserve">rather than assuming you have used the maximum amount. </w:t>
      </w:r>
    </w:p>
    <w:p w14:paraId="3B52BB28" w14:textId="1ACAC4FD" w:rsidR="00467D56" w:rsidRDefault="00467D56" w:rsidP="00BA7D40">
      <w:pPr>
        <w:pStyle w:val="Heading2"/>
        <w:numPr>
          <w:ilvl w:val="0"/>
          <w:numId w:val="33"/>
        </w:numPr>
      </w:pPr>
      <w:r>
        <w:t xml:space="preserve">Am I eligible to apply for a TTFAC? </w:t>
      </w:r>
    </w:p>
    <w:p w14:paraId="7A8192FF" w14:textId="7D236E32" w:rsidR="00842224" w:rsidRDefault="00467D56" w:rsidP="00C61909">
      <w:pPr>
        <w:spacing w:after="120"/>
      </w:pPr>
      <w:r>
        <w:t>You can</w:t>
      </w:r>
      <w:r w:rsidR="00381AD4">
        <w:t xml:space="preserve"> only </w:t>
      </w:r>
      <w:r w:rsidR="003C316A">
        <w:t>apply for a TTFAC if</w:t>
      </w:r>
      <w:r w:rsidR="00F22230">
        <w:t xml:space="preserve"> </w:t>
      </w:r>
      <w:r w:rsidR="00D350B8">
        <w:t>all</w:t>
      </w:r>
      <w:r w:rsidR="00F22230">
        <w:t xml:space="preserve"> the below apply</w:t>
      </w:r>
      <w:r w:rsidR="00842224">
        <w:t>:</w:t>
      </w:r>
    </w:p>
    <w:p w14:paraId="01F167AC" w14:textId="78F52B8D" w:rsidR="00842224" w:rsidRPr="00186DD3" w:rsidRDefault="003C316A" w:rsidP="00186DD3">
      <w:pPr>
        <w:pStyle w:val="ListParagraph"/>
      </w:pPr>
      <w:r w:rsidRPr="00186DD3">
        <w:t>you took payment of pension benefits</w:t>
      </w:r>
      <w:r w:rsidR="00842224" w:rsidRPr="00186DD3">
        <w:t>, or reached age 75,</w:t>
      </w:r>
      <w:r w:rsidRPr="00186DD3">
        <w:t xml:space="preserve"> between 6 April 2006 and 5 April 2024</w:t>
      </w:r>
    </w:p>
    <w:p w14:paraId="58FEA026" w14:textId="6F7CE8C6" w:rsidR="00467D56" w:rsidRPr="00186DD3" w:rsidRDefault="00842224" w:rsidP="00186DD3">
      <w:pPr>
        <w:pStyle w:val="ListParagraph"/>
      </w:pPr>
      <w:r w:rsidRPr="00186DD3">
        <w:t>you have not taken a pension lump sum since 5 April 2024</w:t>
      </w:r>
    </w:p>
    <w:p w14:paraId="19F882DB" w14:textId="2830F888" w:rsidR="00381AD4" w:rsidRDefault="00381AD4" w:rsidP="00186DD3">
      <w:pPr>
        <w:pStyle w:val="ListParagraph"/>
      </w:pPr>
      <w:r w:rsidRPr="00186DD3">
        <w:t xml:space="preserve">you can provide complete evidence </w:t>
      </w:r>
      <w:r w:rsidR="00193FF2" w:rsidRPr="00186DD3">
        <w:t>that you</w:t>
      </w:r>
      <w:r w:rsidR="000E40AD" w:rsidRPr="00186DD3">
        <w:t xml:space="preserve"> took</w:t>
      </w:r>
      <w:r w:rsidR="00193FF2" w:rsidRPr="00186DD3">
        <w:t xml:space="preserve"> less than 25 p</w:t>
      </w:r>
      <w:r w:rsidR="00F22230" w:rsidRPr="00186DD3">
        <w:t xml:space="preserve">er cent of the benefits paid </w:t>
      </w:r>
      <w:r w:rsidR="00BC6C20">
        <w:t xml:space="preserve">to </w:t>
      </w:r>
      <w:r w:rsidR="00F22230" w:rsidRPr="00186DD3">
        <w:t>you before 6 April 2024 as tax-free lump sums</w:t>
      </w:r>
      <w:r w:rsidR="00F22230" w:rsidRPr="00C61909">
        <w:t xml:space="preserve">. </w:t>
      </w:r>
    </w:p>
    <w:p w14:paraId="4B23BBA7" w14:textId="7954C33F" w:rsidR="008A64D6" w:rsidRDefault="008A64D6" w:rsidP="00BA7D40">
      <w:pPr>
        <w:pStyle w:val="Heading2"/>
        <w:numPr>
          <w:ilvl w:val="0"/>
          <w:numId w:val="33"/>
        </w:numPr>
      </w:pPr>
      <w:r>
        <w:t>Should I apply for a TTFAC?</w:t>
      </w:r>
    </w:p>
    <w:p w14:paraId="34E2D700" w14:textId="77777777" w:rsidR="008A64D6" w:rsidRDefault="008A64D6" w:rsidP="00186DD3">
      <w:pPr>
        <w:spacing w:after="120"/>
      </w:pPr>
      <w:r>
        <w:t>For most members, a TTFAC will have no effect on the lump sum they can take from the LGPS. The allowances will generally only affect members who have built up very large pensions. You may wish to apply for a TTFAC if all the below apply:</w:t>
      </w:r>
    </w:p>
    <w:p w14:paraId="7D5EF2F6" w14:textId="77777777" w:rsidR="008A64D6" w:rsidRPr="00186DD3" w:rsidRDefault="008A64D6" w:rsidP="00850ED5">
      <w:pPr>
        <w:pStyle w:val="ListParagraph"/>
      </w:pPr>
      <w:r w:rsidRPr="00186DD3">
        <w:t xml:space="preserve">you have taken pension benefits between 6 April 2006 and 6 April 2024 </w:t>
      </w:r>
    </w:p>
    <w:p w14:paraId="3E9BD103" w14:textId="77777777" w:rsidR="008A64D6" w:rsidRPr="00186DD3" w:rsidRDefault="008A64D6" w:rsidP="00850ED5">
      <w:pPr>
        <w:pStyle w:val="ListParagraph"/>
      </w:pPr>
      <w:r w:rsidRPr="00186DD3">
        <w:t>you were paid less than 25 per cent of their value as tax-free lump sums</w:t>
      </w:r>
    </w:p>
    <w:p w14:paraId="7AAE2D7D" w14:textId="236853D6" w:rsidR="008A64D6" w:rsidRPr="00186DD3" w:rsidRDefault="008A64D6" w:rsidP="00850ED5">
      <w:pPr>
        <w:pStyle w:val="ListParagraph"/>
      </w:pPr>
      <w:r w:rsidRPr="00186DD3">
        <w:t>the total value of tax-free lump</w:t>
      </w:r>
      <w:r w:rsidR="00BC6C20">
        <w:t xml:space="preserve"> sums</w:t>
      </w:r>
      <w:r w:rsidRPr="00186DD3">
        <w:t xml:space="preserve"> you are likely to take will be limited by the lump sum limits set by Government. </w:t>
      </w:r>
    </w:p>
    <w:p w14:paraId="0714069B" w14:textId="77777777" w:rsidR="008A64D6" w:rsidRDefault="008A64D6" w:rsidP="008A64D6">
      <w:pPr>
        <w:spacing w:after="120"/>
      </w:pPr>
      <w:r>
        <w:t xml:space="preserve">You may also wish to apply for a TTFAC if any of the below applies to you: </w:t>
      </w:r>
    </w:p>
    <w:p w14:paraId="264E14E5" w14:textId="77777777" w:rsidR="008A64D6" w:rsidRPr="00186DD3" w:rsidRDefault="008A64D6" w:rsidP="00186DD3">
      <w:pPr>
        <w:pStyle w:val="ListParagraph"/>
      </w:pPr>
      <w:r w:rsidRPr="00186DD3">
        <w:t>you were paid a serious ill health lump sum before 6 April 2024</w:t>
      </w:r>
    </w:p>
    <w:p w14:paraId="1C844B98" w14:textId="3D1455EB" w:rsidR="008A64D6" w:rsidRPr="00186DD3" w:rsidRDefault="008A64D6" w:rsidP="00186DD3">
      <w:pPr>
        <w:pStyle w:val="ListParagraph"/>
      </w:pPr>
      <w:r w:rsidRPr="00186DD3">
        <w:t xml:space="preserve">you transferred pension benefits to a qualified </w:t>
      </w:r>
      <w:r w:rsidR="00BC6C20">
        <w:t xml:space="preserve">registered </w:t>
      </w:r>
      <w:r w:rsidRPr="00186DD3">
        <w:t>overseas pension scheme before 6 April 2024</w:t>
      </w:r>
    </w:p>
    <w:p w14:paraId="1A54B4C0" w14:textId="62CF3C89" w:rsidR="008A64D6" w:rsidRPr="00186DD3" w:rsidRDefault="008A64D6" w:rsidP="00186DD3">
      <w:pPr>
        <w:pStyle w:val="ListParagraph"/>
      </w:pPr>
      <w:r w:rsidRPr="00186DD3">
        <w:t>you have used up 100 per cent of your lifetime allowance</w:t>
      </w:r>
      <w:r w:rsidR="0012061A" w:rsidRPr="00186DD3">
        <w:t xml:space="preserve"> (LTA)</w:t>
      </w:r>
      <w:r w:rsidRPr="00186DD3">
        <w:t xml:space="preserve">. </w:t>
      </w:r>
    </w:p>
    <w:p w14:paraId="3EA6FBDF" w14:textId="1E4425F9" w:rsidR="008A64D6" w:rsidRDefault="008A64D6" w:rsidP="009F0384">
      <w:pPr>
        <w:spacing w:before="240" w:after="120"/>
      </w:pPr>
      <w:r>
        <w:lastRenderedPageBreak/>
        <w:t>You should consider carefully whether applying for a TTFAC is right for you</w:t>
      </w:r>
      <w:r w:rsidR="00A52E07">
        <w:t>. Some</w:t>
      </w:r>
      <w:r w:rsidR="00A52E07" w:rsidRPr="00101EEE">
        <w:t xml:space="preserve"> members will be worse off with a T</w:t>
      </w:r>
      <w:r w:rsidR="00A52E07">
        <w:t>T</w:t>
      </w:r>
      <w:r w:rsidR="00A52E07" w:rsidRPr="00101EEE">
        <w:t>FAC</w:t>
      </w:r>
      <w:r w:rsidR="00A52E07">
        <w:t xml:space="preserve">, </w:t>
      </w:r>
      <w:r w:rsidR="00F84DE2">
        <w:t>even where they have taken less than the maximum lump sum. This could happen if you</w:t>
      </w:r>
      <w:r w:rsidR="008016D5">
        <w:t xml:space="preserve">r benefits were paid to you when the lifetime allowance was higher than the </w:t>
      </w:r>
      <w:r w:rsidR="00030556">
        <w:t>Lump Sum and Death Benefit Allowance</w:t>
      </w:r>
      <w:r w:rsidR="00267204">
        <w:t xml:space="preserve"> (LSDBA) limit</w:t>
      </w:r>
      <w:r w:rsidR="00030556">
        <w:t xml:space="preserve"> of £1,073,100. </w:t>
      </w:r>
      <w:r w:rsidR="00267204">
        <w:t xml:space="preserve">If you are unsure, </w:t>
      </w:r>
      <w:r w:rsidR="00A52E07">
        <w:t xml:space="preserve">you should consider taking </w:t>
      </w:r>
      <w:r w:rsidRPr="00123E3A">
        <w:t xml:space="preserve">specialist independent financial advice. </w:t>
      </w:r>
      <w:r w:rsidRPr="0027419B">
        <w:rPr>
          <w:b/>
          <w:bCs/>
        </w:rPr>
        <w:t>Once a T</w:t>
      </w:r>
      <w:r w:rsidR="0067130B">
        <w:rPr>
          <w:b/>
          <w:bCs/>
        </w:rPr>
        <w:t>T</w:t>
      </w:r>
      <w:r w:rsidRPr="0027419B">
        <w:rPr>
          <w:b/>
          <w:bCs/>
        </w:rPr>
        <w:t>FAC is issued it must be used and cannot be revoked, even if it puts you in a worse financial position</w:t>
      </w:r>
      <w:r>
        <w:t xml:space="preserve">. </w:t>
      </w:r>
    </w:p>
    <w:p w14:paraId="121843F4" w14:textId="14A805DE" w:rsidR="00964B29" w:rsidRDefault="00964B29" w:rsidP="00BA7D40">
      <w:pPr>
        <w:pStyle w:val="Heading2"/>
        <w:numPr>
          <w:ilvl w:val="0"/>
          <w:numId w:val="33"/>
        </w:numPr>
      </w:pPr>
      <w:r>
        <w:t>Who can apply for a TTFAC?</w:t>
      </w:r>
    </w:p>
    <w:p w14:paraId="3B05E577" w14:textId="4525E3F5" w:rsidR="00964B29" w:rsidRPr="00964B29" w:rsidRDefault="006470D3" w:rsidP="00E84050">
      <w:pPr>
        <w:spacing w:after="120"/>
      </w:pPr>
      <w:r>
        <w:t>Pension scheme members</w:t>
      </w:r>
      <w:r w:rsidR="00953EA9">
        <w:t xml:space="preserve">, or </w:t>
      </w:r>
      <w:r>
        <w:t>their</w:t>
      </w:r>
      <w:r w:rsidR="00953EA9">
        <w:t xml:space="preserve"> personal representative if </w:t>
      </w:r>
      <w:r>
        <w:t>they</w:t>
      </w:r>
      <w:r w:rsidR="00953EA9">
        <w:t xml:space="preserve"> have died, can apply for a TTFAC. </w:t>
      </w:r>
      <w:r w:rsidR="002F7DF9">
        <w:t xml:space="preserve">HMRC recommends that </w:t>
      </w:r>
      <w:r w:rsidR="00B87C1A">
        <w:t>you</w:t>
      </w:r>
      <w:r w:rsidR="002F7DF9">
        <w:t xml:space="preserve"> apply to the pension scheme you </w:t>
      </w:r>
      <w:r w:rsidR="005F7621">
        <w:t xml:space="preserve">took </w:t>
      </w:r>
      <w:r w:rsidR="00ED41F1">
        <w:t>most</w:t>
      </w:r>
      <w:r w:rsidR="005F7621">
        <w:t xml:space="preserve"> </w:t>
      </w:r>
      <w:r w:rsidR="00265FDB">
        <w:t>pension benefits</w:t>
      </w:r>
      <w:r w:rsidR="0081223F">
        <w:t xml:space="preserve"> </w:t>
      </w:r>
      <w:r w:rsidR="00265FDB">
        <w:t>before 6 April 202</w:t>
      </w:r>
      <w:r w:rsidR="0081223F">
        <w:t>4</w:t>
      </w:r>
      <w:r w:rsidR="005F7621">
        <w:t xml:space="preserve"> with,</w:t>
      </w:r>
      <w:r w:rsidR="00265FDB">
        <w:t xml:space="preserve"> or the </w:t>
      </w:r>
      <w:r w:rsidR="00A63B9F">
        <w:t xml:space="preserve">pension </w:t>
      </w:r>
      <w:r w:rsidR="00265FDB">
        <w:t>scheme first paying you benefits after 5 April 2024. You can</w:t>
      </w:r>
      <w:r w:rsidR="00A63B9F">
        <w:t xml:space="preserve"> only make one application, and you cannot apply to a pension scheme</w:t>
      </w:r>
      <w:r w:rsidR="00ED41F1">
        <w:t xml:space="preserve"> you</w:t>
      </w:r>
      <w:r w:rsidR="00A63B9F">
        <w:t xml:space="preserve"> </w:t>
      </w:r>
      <w:r w:rsidR="00F15869">
        <w:t>are not yet a member of</w:t>
      </w:r>
      <w:r w:rsidR="008A64D6">
        <w:t xml:space="preserve">. </w:t>
      </w:r>
      <w:r w:rsidR="00953EA9">
        <w:t xml:space="preserve"> </w:t>
      </w:r>
    </w:p>
    <w:p w14:paraId="4802C3F4" w14:textId="2BBF7CBF" w:rsidR="004B6BDB" w:rsidRDefault="00467D56" w:rsidP="00BA7D40">
      <w:pPr>
        <w:pStyle w:val="Heading2"/>
        <w:numPr>
          <w:ilvl w:val="0"/>
          <w:numId w:val="33"/>
        </w:numPr>
      </w:pPr>
      <w:r>
        <w:t xml:space="preserve">When should I apply? </w:t>
      </w:r>
    </w:p>
    <w:p w14:paraId="65165E25" w14:textId="29FFBD36" w:rsidR="004C32FE" w:rsidRDefault="00FB2038" w:rsidP="00E84050">
      <w:pPr>
        <w:spacing w:after="120"/>
      </w:pPr>
      <w:r>
        <w:t xml:space="preserve">If you feel that a TTFAC is right for you, you must make an application before you receive your first </w:t>
      </w:r>
      <w:r w:rsidR="00E36EEA">
        <w:t xml:space="preserve">pension </w:t>
      </w:r>
      <w:r>
        <w:t xml:space="preserve">lump sum after 5 April 2024. If you’re due to be paid a lump sum from another pension scheme, you should delay payment until your certificate has been issued. </w:t>
      </w:r>
      <w:r w:rsidR="0080685D">
        <w:t xml:space="preserve">Personal representatives must apply by 31 October in the tax year following the year in which the lump sum </w:t>
      </w:r>
      <w:r w:rsidR="00165B90">
        <w:t xml:space="preserve">death </w:t>
      </w:r>
      <w:r w:rsidR="0080685D">
        <w:t xml:space="preserve">benefit was paid. </w:t>
      </w:r>
    </w:p>
    <w:p w14:paraId="0B4DE572" w14:textId="666799D0" w:rsidR="008A1467" w:rsidRPr="005674A8" w:rsidRDefault="008A1467" w:rsidP="008A1467">
      <w:pPr>
        <w:pStyle w:val="Heading2"/>
        <w:numPr>
          <w:ilvl w:val="0"/>
          <w:numId w:val="33"/>
        </w:numPr>
      </w:pPr>
      <w:r w:rsidRPr="005674A8">
        <w:t>If I have a TTFAC</w:t>
      </w:r>
      <w:r w:rsidR="00213B98">
        <w:t>,</w:t>
      </w:r>
      <w:r w:rsidRPr="005674A8">
        <w:t xml:space="preserve"> do I have to use it?</w:t>
      </w:r>
    </w:p>
    <w:p w14:paraId="4668062E" w14:textId="01C63169" w:rsidR="008A1467" w:rsidRPr="00170E65" w:rsidRDefault="008A1467" w:rsidP="008A1467">
      <w:pPr>
        <w:spacing w:after="120"/>
      </w:pPr>
      <w:r>
        <w:t xml:space="preserve">Yes. Once a TTFAC is issued, </w:t>
      </w:r>
      <w:r w:rsidR="0032393D">
        <w:t xml:space="preserve">it must be used even if it puts you in a worse financial position. It is not possible to revoke </w:t>
      </w:r>
      <w:r w:rsidR="00D10B40">
        <w:t>it. You</w:t>
      </w:r>
      <w:r>
        <w:t xml:space="preserve"> must provide a copy to all the pension schemes you hold pension benefits </w:t>
      </w:r>
      <w:r w:rsidR="002B0E64">
        <w:t>with</w:t>
      </w:r>
      <w:r w:rsidR="00D10B40">
        <w:t xml:space="preserve"> </w:t>
      </w:r>
      <w:r w:rsidR="001F3900">
        <w:t>within 90 day</w:t>
      </w:r>
      <w:r w:rsidR="00190716">
        <w:t>s</w:t>
      </w:r>
      <w:r w:rsidR="00D10B40">
        <w:t xml:space="preserve"> of </w:t>
      </w:r>
      <w:r w:rsidR="00FA101A">
        <w:t>its issue</w:t>
      </w:r>
      <w:r w:rsidR="001F3900">
        <w:t>, or before you take a pension lump</w:t>
      </w:r>
      <w:r w:rsidR="00A324FF">
        <w:t xml:space="preserve"> sum</w:t>
      </w:r>
      <w:r w:rsidR="001F3900">
        <w:t xml:space="preserve">, </w:t>
      </w:r>
      <w:r w:rsidR="00727934">
        <w:t xml:space="preserve">if </w:t>
      </w:r>
      <w:r w:rsidR="001F3900">
        <w:t xml:space="preserve">earlier. </w:t>
      </w:r>
      <w:r w:rsidR="00190716">
        <w:t>You</w:t>
      </w:r>
      <w:r w:rsidR="00FA101A">
        <w:t xml:space="preserve"> may</w:t>
      </w:r>
      <w:r w:rsidR="00190716">
        <w:t xml:space="preserve"> be subject to a fine from HMRC if you do not comply with this requirement. </w:t>
      </w:r>
    </w:p>
    <w:p w14:paraId="5E6DA384" w14:textId="16915C4C" w:rsidR="003E28E7" w:rsidRDefault="003E28E7" w:rsidP="00BA7D40">
      <w:pPr>
        <w:pStyle w:val="Heading2"/>
        <w:numPr>
          <w:ilvl w:val="0"/>
          <w:numId w:val="33"/>
        </w:numPr>
      </w:pPr>
      <w:r>
        <w:t xml:space="preserve">What information do I need to </w:t>
      </w:r>
      <w:r w:rsidR="00CA3194">
        <w:t xml:space="preserve">provide? </w:t>
      </w:r>
    </w:p>
    <w:p w14:paraId="58DBF64E" w14:textId="36B400EC" w:rsidR="003E28E7" w:rsidRDefault="00C61909" w:rsidP="003E28E7">
      <w:r>
        <w:t xml:space="preserve">You must </w:t>
      </w:r>
      <w:r w:rsidR="007036C4">
        <w:t xml:space="preserve">use the TTFAC application form to tell </w:t>
      </w:r>
      <w:r>
        <w:t>us about all</w:t>
      </w:r>
      <w:r w:rsidR="00592426">
        <w:t xml:space="preserve"> the pension benefits you took paymen</w:t>
      </w:r>
      <w:r w:rsidR="003811FB">
        <w:t>t of before</w:t>
      </w:r>
      <w:r w:rsidR="00592426">
        <w:t xml:space="preserve"> 6 April 2024.</w:t>
      </w:r>
      <w:r w:rsidR="00BF1930">
        <w:t xml:space="preserve"> </w:t>
      </w:r>
    </w:p>
    <w:p w14:paraId="02E48737" w14:textId="77777777" w:rsidR="00DC4173" w:rsidRDefault="00DC4173" w:rsidP="00601BE2">
      <w:pPr>
        <w:spacing w:after="120"/>
      </w:pPr>
      <w:r w:rsidRPr="000E1461">
        <w:rPr>
          <w:b/>
          <w:bCs/>
        </w:rPr>
        <w:t>Pension provider</w:t>
      </w:r>
      <w:r>
        <w:t xml:space="preserve"> – the name of the pension scheme that paid the pension benefits to you. If this is the Local Government Pension Scheme, please include the pension fund name eg Hampshire pension fund. </w:t>
      </w:r>
    </w:p>
    <w:p w14:paraId="16D3C041" w14:textId="7E21FE60" w:rsidR="008A698E" w:rsidRPr="008A698E" w:rsidRDefault="008A698E" w:rsidP="00601BE2">
      <w:pPr>
        <w:spacing w:after="120"/>
        <w:rPr>
          <w:b/>
          <w:bCs/>
        </w:rPr>
      </w:pPr>
      <w:r w:rsidRPr="008A698E">
        <w:rPr>
          <w:b/>
          <w:bCs/>
        </w:rPr>
        <w:t>Tax-free lump sum</w:t>
      </w:r>
      <w:r>
        <w:rPr>
          <w:b/>
          <w:bCs/>
        </w:rPr>
        <w:t xml:space="preserve"> </w:t>
      </w:r>
      <w:r w:rsidR="00E61290">
        <w:t>–</w:t>
      </w:r>
      <w:r w:rsidR="00422431">
        <w:t xml:space="preserve"> </w:t>
      </w:r>
      <w:r w:rsidR="00E61290">
        <w:t>tell us about lump sums that were paid tax-fre</w:t>
      </w:r>
      <w:r w:rsidR="000B4F2C">
        <w:t>e</w:t>
      </w:r>
      <w:r w:rsidR="003F577E">
        <w:t xml:space="preserve"> between 6 April 2006 and 5 April</w:t>
      </w:r>
      <w:r w:rsidR="00475190">
        <w:t xml:space="preserve"> 2024</w:t>
      </w:r>
      <w:r w:rsidR="004252E6">
        <w:t xml:space="preserve"> in table A</w:t>
      </w:r>
      <w:r w:rsidR="00475190">
        <w:t xml:space="preserve">. </w:t>
      </w:r>
    </w:p>
    <w:p w14:paraId="13040267" w14:textId="73C9E833" w:rsidR="00E90E05" w:rsidRDefault="00E90E05" w:rsidP="006A1EC0">
      <w:pPr>
        <w:spacing w:after="120"/>
      </w:pPr>
      <w:r w:rsidRPr="00F25E07">
        <w:rPr>
          <w:b/>
          <w:bCs/>
        </w:rPr>
        <w:t>Typ</w:t>
      </w:r>
      <w:r w:rsidR="00E96C7C">
        <w:rPr>
          <w:b/>
          <w:bCs/>
        </w:rPr>
        <w:t>e</w:t>
      </w:r>
      <w:r w:rsidRPr="00F25E07">
        <w:rPr>
          <w:b/>
          <w:bCs/>
        </w:rPr>
        <w:t xml:space="preserve"> of </w:t>
      </w:r>
      <w:r w:rsidR="00902536">
        <w:rPr>
          <w:b/>
          <w:bCs/>
        </w:rPr>
        <w:t>lump sum</w:t>
      </w:r>
      <w:r>
        <w:t xml:space="preserve"> </w:t>
      </w:r>
      <w:r w:rsidR="00D76EED">
        <w:t>–</w:t>
      </w:r>
      <w:r>
        <w:t xml:space="preserve"> </w:t>
      </w:r>
      <w:r w:rsidR="00D76EED">
        <w:t xml:space="preserve">tell us what type of </w:t>
      </w:r>
      <w:r w:rsidR="00B52BA3">
        <w:t xml:space="preserve">lump sum </w:t>
      </w:r>
      <w:r w:rsidR="00D76EED">
        <w:t>was paid to you</w:t>
      </w:r>
      <w:r w:rsidR="0018696F">
        <w:t>:</w:t>
      </w:r>
    </w:p>
    <w:p w14:paraId="0C227FBF" w14:textId="5F93B756" w:rsidR="009079DA" w:rsidRDefault="009079DA" w:rsidP="009079DA">
      <w:pPr>
        <w:pStyle w:val="ListParagraph"/>
        <w:numPr>
          <w:ilvl w:val="0"/>
          <w:numId w:val="35"/>
        </w:numPr>
      </w:pPr>
      <w:r w:rsidRPr="001653E8">
        <w:rPr>
          <w:b/>
          <w:bCs/>
        </w:rPr>
        <w:t>pension commencement lump sums (PCLS)</w:t>
      </w:r>
      <w:r>
        <w:t xml:space="preserve"> – a tax-free lump sum you take when you start taking a pension</w:t>
      </w:r>
      <w:r w:rsidR="00B870EB">
        <w:t xml:space="preserve"> – this is sometimes referred to as a retirement grant. </w:t>
      </w:r>
    </w:p>
    <w:p w14:paraId="228B805B" w14:textId="605B75EA" w:rsidR="009079DA" w:rsidRPr="008C050A" w:rsidRDefault="009079DA" w:rsidP="009079DA">
      <w:pPr>
        <w:pStyle w:val="ListParagraph"/>
        <w:numPr>
          <w:ilvl w:val="0"/>
          <w:numId w:val="35"/>
        </w:numPr>
      </w:pPr>
      <w:r w:rsidRPr="008C050A">
        <w:rPr>
          <w:b/>
          <w:bCs/>
        </w:rPr>
        <w:lastRenderedPageBreak/>
        <w:t>uncrystallised funds pension lump sums (UFPLS)</w:t>
      </w:r>
      <w:r w:rsidRPr="008C050A">
        <w:t xml:space="preserve"> –a type of lump sum paid from a defined contribution scheme. Only tell us about the</w:t>
      </w:r>
      <w:r w:rsidR="00C9063C">
        <w:t xml:space="preserve"> 25 per cent</w:t>
      </w:r>
      <w:r w:rsidRPr="008C050A">
        <w:t xml:space="preserve"> tax-free part of the lump sum in this section</w:t>
      </w:r>
      <w:r w:rsidR="00C9063C">
        <w:t>.</w:t>
      </w:r>
    </w:p>
    <w:p w14:paraId="5CC7DEDA" w14:textId="00AF9FCF" w:rsidR="009079DA" w:rsidRPr="008C050A" w:rsidRDefault="009079DA" w:rsidP="009079DA">
      <w:pPr>
        <w:pStyle w:val="ListParagraph"/>
        <w:numPr>
          <w:ilvl w:val="0"/>
          <w:numId w:val="35"/>
        </w:numPr>
      </w:pPr>
      <w:r w:rsidRPr="008C050A">
        <w:rPr>
          <w:b/>
          <w:bCs/>
        </w:rPr>
        <w:t>Serious ill health lump sums (SIHLS)</w:t>
      </w:r>
      <w:r w:rsidRPr="008C050A">
        <w:t xml:space="preserve"> – a lump sum paid where your life expectancy is expected to be less than one year</w:t>
      </w:r>
      <w:r w:rsidR="009E188C">
        <w:t>. A SIHLS is</w:t>
      </w:r>
      <w:r w:rsidR="005C586A">
        <w:t xml:space="preserve"> tax-free if it is paid before age 75. </w:t>
      </w:r>
    </w:p>
    <w:p w14:paraId="7ABD2915" w14:textId="77777777" w:rsidR="009079DA" w:rsidRDefault="009079DA" w:rsidP="009079DA">
      <w:pPr>
        <w:pStyle w:val="ListParagraph"/>
        <w:numPr>
          <w:ilvl w:val="0"/>
          <w:numId w:val="35"/>
        </w:numPr>
      </w:pPr>
      <w:r w:rsidRPr="008C050A">
        <w:rPr>
          <w:b/>
          <w:bCs/>
        </w:rPr>
        <w:t>Stand-alone lump sums</w:t>
      </w:r>
      <w:r w:rsidRPr="008C050A">
        <w:t xml:space="preserve"> – a special type of lump sum paid to individuals who, on 5 April 2006, had the right to have all their pension scheme benefits paid as a tax-free lump sum. These are not common and are not payable from the LGPS. </w:t>
      </w:r>
    </w:p>
    <w:p w14:paraId="2A9CAA78" w14:textId="7E09F578" w:rsidR="004B7DD2" w:rsidRPr="008C050A" w:rsidRDefault="00DC4173" w:rsidP="00BC6C20">
      <w:pPr>
        <w:spacing w:after="120"/>
      </w:pPr>
      <w:r w:rsidRPr="00DC4173">
        <w:rPr>
          <w:b/>
          <w:bCs/>
        </w:rPr>
        <w:t>Pensions</w:t>
      </w:r>
      <w:r>
        <w:t xml:space="preserve"> – if you are receiving an ongoing </w:t>
      </w:r>
      <w:r w:rsidR="00751684">
        <w:t>pension,</w:t>
      </w:r>
      <w:r>
        <w:t xml:space="preserve"> please tick to confirm this. </w:t>
      </w:r>
      <w:r w:rsidR="00751684">
        <w:t>We</w:t>
      </w:r>
      <w:r w:rsidR="004B7DD2">
        <w:t xml:space="preserve"> do not need to know the value of any pensions paid to you – th</w:t>
      </w:r>
      <w:r w:rsidR="002E408A">
        <w:t xml:space="preserve">is is </w:t>
      </w:r>
      <w:r w:rsidR="004B7DD2">
        <w:t xml:space="preserve">included in the LTA </w:t>
      </w:r>
      <w:r w:rsidR="00071F9D">
        <w:t>percentage</w:t>
      </w:r>
      <w:r w:rsidR="007A6571">
        <w:t xml:space="preserve"> for this purpose. </w:t>
      </w:r>
    </w:p>
    <w:p w14:paraId="3FD391A6" w14:textId="4D96B9D1" w:rsidR="00831C30" w:rsidRDefault="00831C30" w:rsidP="00601BE2">
      <w:pPr>
        <w:spacing w:after="120"/>
      </w:pPr>
      <w:r w:rsidRPr="00BA7D40">
        <w:rPr>
          <w:b/>
          <w:bCs/>
        </w:rPr>
        <w:t>Lifetime allowance % (LTA)</w:t>
      </w:r>
      <w:r w:rsidR="00BA10E1">
        <w:rPr>
          <w:b/>
          <w:bCs/>
        </w:rPr>
        <w:t xml:space="preserve"> </w:t>
      </w:r>
      <w:r w:rsidR="00262B59">
        <w:t>–</w:t>
      </w:r>
      <w:r w:rsidR="00BA10E1">
        <w:t xml:space="preserve"> </w:t>
      </w:r>
      <w:r w:rsidR="009E6445">
        <w:t xml:space="preserve">when you were paid </w:t>
      </w:r>
      <w:r w:rsidR="00F87D1E">
        <w:t xml:space="preserve">pensions </w:t>
      </w:r>
      <w:r w:rsidR="009E6445">
        <w:t>benefits b</w:t>
      </w:r>
      <w:r w:rsidRPr="00261990">
        <w:t>efore 6 April 2024,</w:t>
      </w:r>
      <w:r w:rsidR="009E6445">
        <w:t xml:space="preserve"> you will have used</w:t>
      </w:r>
      <w:r w:rsidR="00F87D1E">
        <w:t xml:space="preserve"> up </w:t>
      </w:r>
      <w:r w:rsidR="00DD0E7A">
        <w:t>LTA</w:t>
      </w:r>
      <w:r w:rsidR="00F87D1E">
        <w:t xml:space="preserve">. </w:t>
      </w:r>
      <w:r w:rsidR="001B60FA">
        <w:t xml:space="preserve">The </w:t>
      </w:r>
      <w:r w:rsidR="00F87D1E">
        <w:t xml:space="preserve">LTA </w:t>
      </w:r>
      <w:r w:rsidR="00FE752E">
        <w:t>limited</w:t>
      </w:r>
      <w:r w:rsidRPr="00261990">
        <w:t xml:space="preserve"> the total amount of pension benefits a person could have before they paid extra tax</w:t>
      </w:r>
      <w:r w:rsidR="001B60FA">
        <w:t>. It has now b</w:t>
      </w:r>
      <w:r w:rsidRPr="00174D5B">
        <w:t>een replaced</w:t>
      </w:r>
      <w:r>
        <w:t xml:space="preserve"> by the new lump sum allowances.</w:t>
      </w:r>
      <w:r w:rsidR="004A03AA" w:rsidRPr="004A03AA">
        <w:t xml:space="preserve"> </w:t>
      </w:r>
      <w:r w:rsidR="00DE3271">
        <w:t>You must tell us</w:t>
      </w:r>
      <w:r w:rsidR="00B937C9">
        <w:t xml:space="preserve"> </w:t>
      </w:r>
      <w:r w:rsidR="00DD0E7A">
        <w:t xml:space="preserve">the </w:t>
      </w:r>
      <w:r w:rsidR="00DE3271">
        <w:t xml:space="preserve">LTA </w:t>
      </w:r>
      <w:r w:rsidR="00DC1C5E">
        <w:t>percentage</w:t>
      </w:r>
      <w:r w:rsidR="00B937C9">
        <w:t xml:space="preserve"> </w:t>
      </w:r>
      <w:r w:rsidR="00DE3271">
        <w:t>each of the benefits you took before 6 April 2024 used u</w:t>
      </w:r>
      <w:r w:rsidR="00B937C9">
        <w:t>p</w:t>
      </w:r>
      <w:r w:rsidR="00DE3271">
        <w:t xml:space="preserve">. </w:t>
      </w:r>
      <w:r w:rsidR="004A03AA">
        <w:t>The pension scheme that pays/pai</w:t>
      </w:r>
      <w:r w:rsidR="003B77D0">
        <w:t>d</w:t>
      </w:r>
      <w:r w:rsidR="004A03AA">
        <w:t xml:space="preserve"> these benefits to you will have notified you of this.</w:t>
      </w:r>
    </w:p>
    <w:p w14:paraId="3726D8BA" w14:textId="2643C05C" w:rsidR="000056D8" w:rsidRPr="001F47A4" w:rsidRDefault="001F47A4" w:rsidP="006A1EC0">
      <w:pPr>
        <w:spacing w:after="120"/>
      </w:pPr>
      <w:r w:rsidRPr="001F47A4">
        <w:rPr>
          <w:b/>
          <w:bCs/>
        </w:rPr>
        <w:t>Pensions first paid before 6 April 2006</w:t>
      </w:r>
      <w:r>
        <w:rPr>
          <w:b/>
          <w:bCs/>
        </w:rPr>
        <w:t xml:space="preserve"> </w:t>
      </w:r>
      <w:r>
        <w:t>–</w:t>
      </w:r>
      <w:r w:rsidR="005B3308">
        <w:t xml:space="preserve"> </w:t>
      </w:r>
      <w:r w:rsidR="00E35D7F">
        <w:t>complete table B to tell us about these.  T</w:t>
      </w:r>
      <w:r w:rsidR="000151B3">
        <w:t xml:space="preserve">he LTA </w:t>
      </w:r>
      <w:r w:rsidR="00CD3E9B">
        <w:t xml:space="preserve">amount used </w:t>
      </w:r>
      <w:r w:rsidR="005B3308">
        <w:t>will</w:t>
      </w:r>
      <w:r w:rsidR="00CD3E9B">
        <w:t xml:space="preserve"> have been calculated by the first pension </w:t>
      </w:r>
      <w:r w:rsidR="00102444">
        <w:t xml:space="preserve">provider that paid you benefits after 5 April 2006. </w:t>
      </w:r>
      <w:r w:rsidR="000056D8">
        <w:t xml:space="preserve">Ask that provider for this information and the </w:t>
      </w:r>
      <w:r w:rsidR="000056D8" w:rsidRPr="001F47A4">
        <w:t>Benefit Crystallisation Event (BCE) date</w:t>
      </w:r>
      <w:r w:rsidR="00DC1C5E">
        <w:t>,</w:t>
      </w:r>
      <w:r w:rsidR="000056D8" w:rsidRPr="001F47A4">
        <w:t xml:space="preserve"> if you don’t </w:t>
      </w:r>
      <w:r w:rsidR="003F577E" w:rsidRPr="001F47A4">
        <w:t xml:space="preserve">already have it. </w:t>
      </w:r>
      <w:r w:rsidR="00B937C9">
        <w:t xml:space="preserve">We do not need to know about any lump sums paid before 6 April 2006. </w:t>
      </w:r>
    </w:p>
    <w:p w14:paraId="79AE223D" w14:textId="738EB89D" w:rsidR="00EA1690" w:rsidRDefault="0017358A" w:rsidP="006A1EC0">
      <w:pPr>
        <w:spacing w:after="120"/>
      </w:pPr>
      <w:r w:rsidRPr="0079601C">
        <w:rPr>
          <w:b/>
          <w:bCs/>
        </w:rPr>
        <w:t>Benefit Crystallisation</w:t>
      </w:r>
      <w:r w:rsidR="00A02386" w:rsidRPr="0079601C">
        <w:rPr>
          <w:b/>
          <w:bCs/>
        </w:rPr>
        <w:t xml:space="preserve"> Event</w:t>
      </w:r>
      <w:r w:rsidR="00A02386">
        <w:t xml:space="preserve"> </w:t>
      </w:r>
      <w:r w:rsidR="00A02386" w:rsidRPr="0079601C">
        <w:rPr>
          <w:b/>
          <w:bCs/>
        </w:rPr>
        <w:t>(BCE)</w:t>
      </w:r>
      <w:r w:rsidR="001F47A4">
        <w:rPr>
          <w:b/>
          <w:bCs/>
        </w:rPr>
        <w:t xml:space="preserve"> </w:t>
      </w:r>
      <w:r w:rsidR="001F47A4">
        <w:t>–</w:t>
      </w:r>
      <w:r w:rsidR="007F5C8E">
        <w:t xml:space="preserve"> you only need to provide this for pensions first paid before 6 April 2006. B</w:t>
      </w:r>
      <w:r w:rsidR="006A0B3F">
        <w:t xml:space="preserve">ecause the LTA did not exist before 6 April 2006, </w:t>
      </w:r>
      <w:r w:rsidR="007F5C8E">
        <w:t>the BCE date is the date</w:t>
      </w:r>
      <w:r w:rsidR="00916F47">
        <w:t xml:space="preserve"> you</w:t>
      </w:r>
      <w:r w:rsidR="006A0B3F">
        <w:t xml:space="preserve"> </w:t>
      </w:r>
      <w:r w:rsidR="000C4F03">
        <w:t xml:space="preserve">first </w:t>
      </w:r>
      <w:r w:rsidR="001F47A4">
        <w:t xml:space="preserve">accessed </w:t>
      </w:r>
      <w:r w:rsidR="00927E5C">
        <w:t xml:space="preserve">pension benefits </w:t>
      </w:r>
      <w:r w:rsidR="000C4F03">
        <w:t>a</w:t>
      </w:r>
      <w:r w:rsidR="00927E5C">
        <w:t>fter 5 April 2006</w:t>
      </w:r>
      <w:r w:rsidR="00EE724E">
        <w:t xml:space="preserve">. </w:t>
      </w:r>
    </w:p>
    <w:p w14:paraId="5AA48C2F" w14:textId="0EBAF8DF" w:rsidR="00ED1A6A" w:rsidRPr="00ED1A6A" w:rsidRDefault="00ED1A6A" w:rsidP="004D2DC3">
      <w:pPr>
        <w:spacing w:after="120"/>
        <w:rPr>
          <w:b/>
          <w:bCs/>
        </w:rPr>
      </w:pPr>
      <w:r w:rsidRPr="00ED1A6A">
        <w:rPr>
          <w:b/>
          <w:bCs/>
        </w:rPr>
        <w:t xml:space="preserve">Transfers to overseas pension schemes </w:t>
      </w:r>
      <w:r w:rsidR="00D260F0">
        <w:t xml:space="preserve">– </w:t>
      </w:r>
      <w:r w:rsidR="00E56050">
        <w:t>complete table C to tell us about these. If</w:t>
      </w:r>
      <w:r w:rsidR="00D260F0">
        <w:t xml:space="preserve"> you transferred a pension to </w:t>
      </w:r>
      <w:r w:rsidR="00D2136F">
        <w:t>a Qualif</w:t>
      </w:r>
      <w:r w:rsidR="00A324FF">
        <w:t>ying</w:t>
      </w:r>
      <w:r w:rsidR="00D2136F">
        <w:t xml:space="preserve"> Recognised Overseas Pension Scheme</w:t>
      </w:r>
      <w:r w:rsidR="00197535">
        <w:t xml:space="preserve"> (QROPS)</w:t>
      </w:r>
      <w:r w:rsidR="00D2136F">
        <w:t xml:space="preserve"> before 6 April 2024, you </w:t>
      </w:r>
      <w:r w:rsidR="00C507A0">
        <w:t>would</w:t>
      </w:r>
      <w:r w:rsidR="00D2136F">
        <w:t xml:space="preserve"> have used </w:t>
      </w:r>
      <w:r w:rsidR="00162626">
        <w:t xml:space="preserve">up </w:t>
      </w:r>
      <w:r w:rsidR="00D2136F">
        <w:t>LTA.</w:t>
      </w:r>
      <w:r w:rsidR="00E56050">
        <w:t xml:space="preserve"> </w:t>
      </w:r>
    </w:p>
    <w:p w14:paraId="0FE8450D" w14:textId="3128A2E0" w:rsidR="005674A8" w:rsidRDefault="005674A8" w:rsidP="005674A8">
      <w:pPr>
        <w:pStyle w:val="Heading2"/>
        <w:numPr>
          <w:ilvl w:val="0"/>
          <w:numId w:val="33"/>
        </w:numPr>
      </w:pPr>
      <w:r>
        <w:t>What evidence do I need to provide?</w:t>
      </w:r>
    </w:p>
    <w:p w14:paraId="51AD7ABF" w14:textId="517B3474" w:rsidR="005674A8" w:rsidRPr="005674A8" w:rsidRDefault="00883A48" w:rsidP="004D2DC3">
      <w:pPr>
        <w:spacing w:after="120"/>
      </w:pPr>
      <w:r>
        <w:t xml:space="preserve">You must provide </w:t>
      </w:r>
      <w:r w:rsidR="00263198">
        <w:t xml:space="preserve">written </w:t>
      </w:r>
      <w:r>
        <w:t>evidence</w:t>
      </w:r>
      <w:r w:rsidR="00F5093D">
        <w:t xml:space="preserve"> for each pension benefit paid to you</w:t>
      </w:r>
      <w:r w:rsidR="00186DD3">
        <w:t xml:space="preserve">. This should include </w:t>
      </w:r>
      <w:r>
        <w:t>the LTA percentage used</w:t>
      </w:r>
      <w:r w:rsidR="00DC1C5E">
        <w:t xml:space="preserve"> </w:t>
      </w:r>
      <w:r w:rsidR="00186DD3">
        <w:t xml:space="preserve">for each pension benefit and </w:t>
      </w:r>
      <w:r w:rsidR="00F5093D">
        <w:t>any</w:t>
      </w:r>
      <w:r w:rsidR="003039A2">
        <w:t xml:space="preserve"> tax-free lump sum </w:t>
      </w:r>
      <w:r w:rsidR="00F5093D">
        <w:t xml:space="preserve">paid. You will also need to provide written evidence for </w:t>
      </w:r>
      <w:r w:rsidR="00672C97">
        <w:t xml:space="preserve">any overseas transfers </w:t>
      </w:r>
      <w:r w:rsidR="007A6571">
        <w:t xml:space="preserve">including the LTA percentage </w:t>
      </w:r>
      <w:r w:rsidR="00351C87">
        <w:t xml:space="preserve">used </w:t>
      </w:r>
      <w:r w:rsidR="007A6571">
        <w:t>and transfer amount</w:t>
      </w:r>
      <w:r w:rsidR="00672C97">
        <w:t xml:space="preserve">. </w:t>
      </w:r>
      <w:r w:rsidR="00F5093D">
        <w:t>Evidence can b</w:t>
      </w:r>
      <w:r w:rsidR="003039A2">
        <w:t>e a letter from the pension provider, a BCE certificate</w:t>
      </w:r>
      <w:r w:rsidR="00263198">
        <w:t>, a benefit</w:t>
      </w:r>
      <w:r w:rsidR="00CB59FE">
        <w:t>/transfer</w:t>
      </w:r>
      <w:r w:rsidR="00263198">
        <w:t xml:space="preserve"> letter or a</w:t>
      </w:r>
      <w:r w:rsidR="003F6EAE">
        <w:t xml:space="preserve">nother form of evidence that clearly states the type of benefit, relevant amounts and </w:t>
      </w:r>
      <w:r w:rsidR="0076324E">
        <w:t xml:space="preserve">date paid. </w:t>
      </w:r>
    </w:p>
    <w:sectPr w:rsidR="005674A8" w:rsidRPr="005674A8" w:rsidSect="00AA17F8">
      <w:footerReference w:type="even" r:id="rId12"/>
      <w:footerReference w:type="default" r:id="rId13"/>
      <w:pgSz w:w="11900" w:h="16840"/>
      <w:pgMar w:top="1276" w:right="1440" w:bottom="1440"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D06E" w14:textId="77777777" w:rsidR="00BE48B7" w:rsidRDefault="00BE48B7" w:rsidP="0052129E">
      <w:r>
        <w:separator/>
      </w:r>
    </w:p>
  </w:endnote>
  <w:endnote w:type="continuationSeparator" w:id="0">
    <w:p w14:paraId="16E58E7D" w14:textId="77777777" w:rsidR="00BE48B7" w:rsidRDefault="00BE48B7" w:rsidP="0052129E">
      <w:r>
        <w:continuationSeparator/>
      </w:r>
    </w:p>
  </w:endnote>
  <w:endnote w:type="continuationNotice" w:id="1">
    <w:p w14:paraId="09A95FFB" w14:textId="77777777" w:rsidR="00BE48B7" w:rsidRDefault="00BE48B7"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4483" w14:textId="77777777" w:rsidR="008B5701" w:rsidRDefault="008B5701" w:rsidP="0052129E"/>
  <w:p w14:paraId="3F7E301B" w14:textId="77777777" w:rsidR="007D6682" w:rsidRPr="00153423" w:rsidRDefault="007D6682"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444902"/>
      <w:docPartObj>
        <w:docPartGallery w:val="Page Numbers (Bottom of Page)"/>
        <w:docPartUnique/>
      </w:docPartObj>
    </w:sdtPr>
    <w:sdtEndPr/>
    <w:sdtContent>
      <w:p w14:paraId="48EC3613" w14:textId="243B4463" w:rsidR="00C95F52" w:rsidRDefault="00C95F52">
        <w:pPr>
          <w:pStyle w:val="Footer"/>
          <w:jc w:val="center"/>
        </w:pPr>
        <w:r>
          <w:fldChar w:fldCharType="begin"/>
        </w:r>
        <w:r>
          <w:instrText>PAGE   \* MERGEFORMAT</w:instrText>
        </w:r>
        <w:r>
          <w:fldChar w:fldCharType="separate"/>
        </w:r>
        <w:r>
          <w:t>2</w:t>
        </w:r>
        <w:r>
          <w:fldChar w:fldCharType="end"/>
        </w:r>
      </w:p>
    </w:sdtContent>
  </w:sdt>
  <w:p w14:paraId="6B793948" w14:textId="0B41631D" w:rsidR="00C95F52" w:rsidRPr="00EB72F8" w:rsidRDefault="00EB72F8">
    <w:pPr>
      <w:pStyle w:val="Footer"/>
      <w:rPr>
        <w:sz w:val="20"/>
        <w:szCs w:val="20"/>
      </w:rPr>
    </w:pPr>
    <w:r w:rsidRPr="00EB72F8">
      <w:rPr>
        <w:sz w:val="20"/>
        <w:szCs w:val="20"/>
      </w:rPr>
      <w:t>Version 1.0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9D66" w14:textId="77777777" w:rsidR="00BE48B7" w:rsidRDefault="00BE48B7" w:rsidP="0052129E">
      <w:r>
        <w:separator/>
      </w:r>
    </w:p>
  </w:footnote>
  <w:footnote w:type="continuationSeparator" w:id="0">
    <w:p w14:paraId="75D2AF3D" w14:textId="77777777" w:rsidR="00BE48B7" w:rsidRDefault="00BE48B7" w:rsidP="0052129E">
      <w:r>
        <w:continuationSeparator/>
      </w:r>
    </w:p>
  </w:footnote>
  <w:footnote w:type="continuationNotice" w:id="1">
    <w:p w14:paraId="57591C58" w14:textId="77777777" w:rsidR="00BE48B7" w:rsidRDefault="00BE48B7"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87709"/>
    <w:multiLevelType w:val="hybridMultilevel"/>
    <w:tmpl w:val="C2BE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703B4"/>
    <w:multiLevelType w:val="hybridMultilevel"/>
    <w:tmpl w:val="1B2CE918"/>
    <w:lvl w:ilvl="0" w:tplc="237822E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3"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95EA4"/>
    <w:multiLevelType w:val="hybridMultilevel"/>
    <w:tmpl w:val="0E9AA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591D63"/>
    <w:multiLevelType w:val="hybridMultilevel"/>
    <w:tmpl w:val="6382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EA5551"/>
    <w:multiLevelType w:val="hybridMultilevel"/>
    <w:tmpl w:val="AD46DBE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63678B"/>
    <w:multiLevelType w:val="hybridMultilevel"/>
    <w:tmpl w:val="62FE41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E7F42"/>
    <w:multiLevelType w:val="hybridMultilevel"/>
    <w:tmpl w:val="9ED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32"/>
  </w:num>
  <w:num w:numId="3" w16cid:durableId="1540703762">
    <w:abstractNumId w:val="31"/>
  </w:num>
  <w:num w:numId="4" w16cid:durableId="266043126">
    <w:abstractNumId w:val="28"/>
  </w:num>
  <w:num w:numId="5" w16cid:durableId="737870857">
    <w:abstractNumId w:val="21"/>
  </w:num>
  <w:num w:numId="6" w16cid:durableId="864563898">
    <w:abstractNumId w:val="20"/>
  </w:num>
  <w:num w:numId="7" w16cid:durableId="1884904477">
    <w:abstractNumId w:val="23"/>
  </w:num>
  <w:num w:numId="8" w16cid:durableId="63185790">
    <w:abstractNumId w:val="12"/>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5"/>
  </w:num>
  <w:num w:numId="19" w16cid:durableId="1888104346">
    <w:abstractNumId w:val="33"/>
  </w:num>
  <w:num w:numId="20" w16cid:durableId="2125614591">
    <w:abstractNumId w:val="30"/>
  </w:num>
  <w:num w:numId="21" w16cid:durableId="707417768">
    <w:abstractNumId w:val="19"/>
  </w:num>
  <w:num w:numId="22" w16cid:durableId="1433285686">
    <w:abstractNumId w:val="34"/>
  </w:num>
  <w:num w:numId="23" w16cid:durableId="456415534">
    <w:abstractNumId w:val="22"/>
  </w:num>
  <w:num w:numId="24" w16cid:durableId="564144700">
    <w:abstractNumId w:val="27"/>
  </w:num>
  <w:num w:numId="25" w16cid:durableId="726152727">
    <w:abstractNumId w:val="29"/>
  </w:num>
  <w:num w:numId="26" w16cid:durableId="1593781688">
    <w:abstractNumId w:val="16"/>
  </w:num>
  <w:num w:numId="27" w16cid:durableId="1085616124">
    <w:abstractNumId w:val="17"/>
  </w:num>
  <w:num w:numId="28" w16cid:durableId="1057313911">
    <w:abstractNumId w:val="10"/>
  </w:num>
  <w:num w:numId="29" w16cid:durableId="155192151">
    <w:abstractNumId w:val="18"/>
  </w:num>
  <w:num w:numId="30" w16cid:durableId="490757874">
    <w:abstractNumId w:val="15"/>
  </w:num>
  <w:num w:numId="31" w16cid:durableId="1805463358">
    <w:abstractNumId w:val="13"/>
  </w:num>
  <w:num w:numId="32" w16cid:durableId="494272822">
    <w:abstractNumId w:val="11"/>
  </w:num>
  <w:num w:numId="33" w16cid:durableId="2113163270">
    <w:abstractNumId w:val="24"/>
  </w:num>
  <w:num w:numId="34" w16cid:durableId="1701315482">
    <w:abstractNumId w:val="26"/>
  </w:num>
  <w:num w:numId="35" w16cid:durableId="35319432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0C"/>
    <w:rsid w:val="00003DE5"/>
    <w:rsid w:val="000040DD"/>
    <w:rsid w:val="000056D8"/>
    <w:rsid w:val="00007035"/>
    <w:rsid w:val="00012642"/>
    <w:rsid w:val="000151B3"/>
    <w:rsid w:val="00016C66"/>
    <w:rsid w:val="00023063"/>
    <w:rsid w:val="000231CE"/>
    <w:rsid w:val="00023817"/>
    <w:rsid w:val="00030556"/>
    <w:rsid w:val="00036733"/>
    <w:rsid w:val="00040B3E"/>
    <w:rsid w:val="00042F32"/>
    <w:rsid w:val="00052698"/>
    <w:rsid w:val="00057A17"/>
    <w:rsid w:val="000639BD"/>
    <w:rsid w:val="00071F9D"/>
    <w:rsid w:val="00075EDA"/>
    <w:rsid w:val="00085B6E"/>
    <w:rsid w:val="000913D1"/>
    <w:rsid w:val="00095F0F"/>
    <w:rsid w:val="000A3930"/>
    <w:rsid w:val="000A6F0D"/>
    <w:rsid w:val="000B07DB"/>
    <w:rsid w:val="000B2206"/>
    <w:rsid w:val="000B34AE"/>
    <w:rsid w:val="000B4F2C"/>
    <w:rsid w:val="000C083B"/>
    <w:rsid w:val="000C4F03"/>
    <w:rsid w:val="000C654D"/>
    <w:rsid w:val="000D0E2F"/>
    <w:rsid w:val="000D27C5"/>
    <w:rsid w:val="000E1461"/>
    <w:rsid w:val="000E3E0A"/>
    <w:rsid w:val="000E40AD"/>
    <w:rsid w:val="000F2285"/>
    <w:rsid w:val="00100350"/>
    <w:rsid w:val="0010218D"/>
    <w:rsid w:val="00102444"/>
    <w:rsid w:val="0011644D"/>
    <w:rsid w:val="0012061A"/>
    <w:rsid w:val="00122F18"/>
    <w:rsid w:val="00125CDC"/>
    <w:rsid w:val="00125D0E"/>
    <w:rsid w:val="00143FF7"/>
    <w:rsid w:val="00144168"/>
    <w:rsid w:val="00151EED"/>
    <w:rsid w:val="001521DF"/>
    <w:rsid w:val="00152988"/>
    <w:rsid w:val="00153423"/>
    <w:rsid w:val="0016146B"/>
    <w:rsid w:val="00162626"/>
    <w:rsid w:val="001653E8"/>
    <w:rsid w:val="00165B90"/>
    <w:rsid w:val="00170E65"/>
    <w:rsid w:val="001719D2"/>
    <w:rsid w:val="0017358A"/>
    <w:rsid w:val="001815D7"/>
    <w:rsid w:val="0018696F"/>
    <w:rsid w:val="00186DD3"/>
    <w:rsid w:val="001879BE"/>
    <w:rsid w:val="00190716"/>
    <w:rsid w:val="00191EF5"/>
    <w:rsid w:val="0019282A"/>
    <w:rsid w:val="00193FF2"/>
    <w:rsid w:val="00195A64"/>
    <w:rsid w:val="00197535"/>
    <w:rsid w:val="001A0E07"/>
    <w:rsid w:val="001A6528"/>
    <w:rsid w:val="001B28F6"/>
    <w:rsid w:val="001B569A"/>
    <w:rsid w:val="001B60FA"/>
    <w:rsid w:val="001C0B7F"/>
    <w:rsid w:val="001C0C65"/>
    <w:rsid w:val="001C403B"/>
    <w:rsid w:val="001D0E03"/>
    <w:rsid w:val="001D1D15"/>
    <w:rsid w:val="001E1B21"/>
    <w:rsid w:val="001E3B88"/>
    <w:rsid w:val="001E48CA"/>
    <w:rsid w:val="001F1BAF"/>
    <w:rsid w:val="001F3900"/>
    <w:rsid w:val="001F47A4"/>
    <w:rsid w:val="0020025E"/>
    <w:rsid w:val="002013E6"/>
    <w:rsid w:val="00201BBD"/>
    <w:rsid w:val="0020342C"/>
    <w:rsid w:val="00207C69"/>
    <w:rsid w:val="00213B98"/>
    <w:rsid w:val="00215D15"/>
    <w:rsid w:val="0022517A"/>
    <w:rsid w:val="002255C9"/>
    <w:rsid w:val="002258B9"/>
    <w:rsid w:val="00240E17"/>
    <w:rsid w:val="00241009"/>
    <w:rsid w:val="00246EA0"/>
    <w:rsid w:val="00251064"/>
    <w:rsid w:val="00252CFD"/>
    <w:rsid w:val="00254603"/>
    <w:rsid w:val="0026182C"/>
    <w:rsid w:val="00262B59"/>
    <w:rsid w:val="00263198"/>
    <w:rsid w:val="00265FDB"/>
    <w:rsid w:val="00267204"/>
    <w:rsid w:val="00267B7D"/>
    <w:rsid w:val="0027419B"/>
    <w:rsid w:val="00280584"/>
    <w:rsid w:val="00292DF6"/>
    <w:rsid w:val="002A05C1"/>
    <w:rsid w:val="002A2DE0"/>
    <w:rsid w:val="002B0E64"/>
    <w:rsid w:val="002B2881"/>
    <w:rsid w:val="002B36DC"/>
    <w:rsid w:val="002B6209"/>
    <w:rsid w:val="002C058D"/>
    <w:rsid w:val="002C111D"/>
    <w:rsid w:val="002D013E"/>
    <w:rsid w:val="002E1060"/>
    <w:rsid w:val="002E2053"/>
    <w:rsid w:val="002E408A"/>
    <w:rsid w:val="002E6C8C"/>
    <w:rsid w:val="002F3C04"/>
    <w:rsid w:val="002F462E"/>
    <w:rsid w:val="002F72AD"/>
    <w:rsid w:val="002F7424"/>
    <w:rsid w:val="002F7DF9"/>
    <w:rsid w:val="0030031B"/>
    <w:rsid w:val="00300A77"/>
    <w:rsid w:val="003039A2"/>
    <w:rsid w:val="003137E0"/>
    <w:rsid w:val="0032393D"/>
    <w:rsid w:val="00324983"/>
    <w:rsid w:val="00332531"/>
    <w:rsid w:val="00335B2D"/>
    <w:rsid w:val="00345410"/>
    <w:rsid w:val="00351C87"/>
    <w:rsid w:val="00353D65"/>
    <w:rsid w:val="0035477E"/>
    <w:rsid w:val="00357547"/>
    <w:rsid w:val="0036111F"/>
    <w:rsid w:val="00361AEB"/>
    <w:rsid w:val="00363F09"/>
    <w:rsid w:val="003737D0"/>
    <w:rsid w:val="00375F9A"/>
    <w:rsid w:val="003801D6"/>
    <w:rsid w:val="003811FB"/>
    <w:rsid w:val="00381AD4"/>
    <w:rsid w:val="0039487B"/>
    <w:rsid w:val="00397CDD"/>
    <w:rsid w:val="003A15A7"/>
    <w:rsid w:val="003B77D0"/>
    <w:rsid w:val="003C11FC"/>
    <w:rsid w:val="003C316A"/>
    <w:rsid w:val="003C495E"/>
    <w:rsid w:val="003C5C16"/>
    <w:rsid w:val="003D0E0B"/>
    <w:rsid w:val="003D1170"/>
    <w:rsid w:val="003D1E4B"/>
    <w:rsid w:val="003D55B7"/>
    <w:rsid w:val="003E28E7"/>
    <w:rsid w:val="003E2A1C"/>
    <w:rsid w:val="003E5013"/>
    <w:rsid w:val="003E65D7"/>
    <w:rsid w:val="003F50DB"/>
    <w:rsid w:val="003F577E"/>
    <w:rsid w:val="003F6EAE"/>
    <w:rsid w:val="00400A51"/>
    <w:rsid w:val="00406BBD"/>
    <w:rsid w:val="00407FF7"/>
    <w:rsid w:val="00410D69"/>
    <w:rsid w:val="00420B32"/>
    <w:rsid w:val="00422431"/>
    <w:rsid w:val="00424611"/>
    <w:rsid w:val="004252E6"/>
    <w:rsid w:val="0042795C"/>
    <w:rsid w:val="00427BC8"/>
    <w:rsid w:val="00432720"/>
    <w:rsid w:val="0044677B"/>
    <w:rsid w:val="00446C9D"/>
    <w:rsid w:val="0045684B"/>
    <w:rsid w:val="004629CC"/>
    <w:rsid w:val="00464C5F"/>
    <w:rsid w:val="00467D56"/>
    <w:rsid w:val="00467E0E"/>
    <w:rsid w:val="00474128"/>
    <w:rsid w:val="00475190"/>
    <w:rsid w:val="0048103E"/>
    <w:rsid w:val="004812FF"/>
    <w:rsid w:val="004813F5"/>
    <w:rsid w:val="004815E4"/>
    <w:rsid w:val="004832D0"/>
    <w:rsid w:val="00486944"/>
    <w:rsid w:val="004A03AA"/>
    <w:rsid w:val="004A267F"/>
    <w:rsid w:val="004A302E"/>
    <w:rsid w:val="004A550F"/>
    <w:rsid w:val="004B3943"/>
    <w:rsid w:val="004B6480"/>
    <w:rsid w:val="004B6BDB"/>
    <w:rsid w:val="004B7030"/>
    <w:rsid w:val="004B709A"/>
    <w:rsid w:val="004B7DD2"/>
    <w:rsid w:val="004C0E85"/>
    <w:rsid w:val="004C1176"/>
    <w:rsid w:val="004C1903"/>
    <w:rsid w:val="004C32FE"/>
    <w:rsid w:val="004C4820"/>
    <w:rsid w:val="004C6AF1"/>
    <w:rsid w:val="004D2DC3"/>
    <w:rsid w:val="004D736A"/>
    <w:rsid w:val="004E18E2"/>
    <w:rsid w:val="004E1B2D"/>
    <w:rsid w:val="004E337D"/>
    <w:rsid w:val="004E5BF4"/>
    <w:rsid w:val="004E6BB3"/>
    <w:rsid w:val="004F0936"/>
    <w:rsid w:val="004F68A2"/>
    <w:rsid w:val="00500B4D"/>
    <w:rsid w:val="00503754"/>
    <w:rsid w:val="00503BC5"/>
    <w:rsid w:val="00503F09"/>
    <w:rsid w:val="00506E8D"/>
    <w:rsid w:val="00507388"/>
    <w:rsid w:val="00510719"/>
    <w:rsid w:val="0051479D"/>
    <w:rsid w:val="005157D4"/>
    <w:rsid w:val="00515FA7"/>
    <w:rsid w:val="0052129E"/>
    <w:rsid w:val="00526D9F"/>
    <w:rsid w:val="005315D9"/>
    <w:rsid w:val="0053346B"/>
    <w:rsid w:val="00535D6E"/>
    <w:rsid w:val="005372A7"/>
    <w:rsid w:val="00545B79"/>
    <w:rsid w:val="005500D8"/>
    <w:rsid w:val="00551C91"/>
    <w:rsid w:val="005674A8"/>
    <w:rsid w:val="005720CE"/>
    <w:rsid w:val="0059164F"/>
    <w:rsid w:val="00592426"/>
    <w:rsid w:val="00596C14"/>
    <w:rsid w:val="005A7236"/>
    <w:rsid w:val="005B3308"/>
    <w:rsid w:val="005B40FE"/>
    <w:rsid w:val="005B52F8"/>
    <w:rsid w:val="005B685E"/>
    <w:rsid w:val="005C0AA0"/>
    <w:rsid w:val="005C379A"/>
    <w:rsid w:val="005C586A"/>
    <w:rsid w:val="005C64E6"/>
    <w:rsid w:val="005D044E"/>
    <w:rsid w:val="005D08F8"/>
    <w:rsid w:val="005D2CD8"/>
    <w:rsid w:val="005D52A9"/>
    <w:rsid w:val="005E134D"/>
    <w:rsid w:val="005E317A"/>
    <w:rsid w:val="005F35B6"/>
    <w:rsid w:val="005F7621"/>
    <w:rsid w:val="00601BE2"/>
    <w:rsid w:val="00604FEC"/>
    <w:rsid w:val="00613FAE"/>
    <w:rsid w:val="00616157"/>
    <w:rsid w:val="00616392"/>
    <w:rsid w:val="00626243"/>
    <w:rsid w:val="00627B4F"/>
    <w:rsid w:val="00637AE5"/>
    <w:rsid w:val="00643FF4"/>
    <w:rsid w:val="00645595"/>
    <w:rsid w:val="006470D3"/>
    <w:rsid w:val="00652442"/>
    <w:rsid w:val="00652A30"/>
    <w:rsid w:val="00655DAC"/>
    <w:rsid w:val="00662B42"/>
    <w:rsid w:val="006671C2"/>
    <w:rsid w:val="0067130B"/>
    <w:rsid w:val="00672C97"/>
    <w:rsid w:val="00672D24"/>
    <w:rsid w:val="00672F1F"/>
    <w:rsid w:val="00690F84"/>
    <w:rsid w:val="00693086"/>
    <w:rsid w:val="006935A4"/>
    <w:rsid w:val="00694659"/>
    <w:rsid w:val="00695C5E"/>
    <w:rsid w:val="006A0790"/>
    <w:rsid w:val="006A0B3F"/>
    <w:rsid w:val="006A1EC0"/>
    <w:rsid w:val="006A789F"/>
    <w:rsid w:val="006B3F21"/>
    <w:rsid w:val="006B45FC"/>
    <w:rsid w:val="006C71C4"/>
    <w:rsid w:val="006C7FA2"/>
    <w:rsid w:val="006E432A"/>
    <w:rsid w:val="007036C4"/>
    <w:rsid w:val="00707E82"/>
    <w:rsid w:val="00707E98"/>
    <w:rsid w:val="00710E3D"/>
    <w:rsid w:val="00711939"/>
    <w:rsid w:val="0071649C"/>
    <w:rsid w:val="00717DC9"/>
    <w:rsid w:val="0072300D"/>
    <w:rsid w:val="00727934"/>
    <w:rsid w:val="00727BBD"/>
    <w:rsid w:val="00736644"/>
    <w:rsid w:val="00740387"/>
    <w:rsid w:val="007430A4"/>
    <w:rsid w:val="00751684"/>
    <w:rsid w:val="007522A4"/>
    <w:rsid w:val="0076324E"/>
    <w:rsid w:val="0076751A"/>
    <w:rsid w:val="007700C5"/>
    <w:rsid w:val="00773DD6"/>
    <w:rsid w:val="00774FF2"/>
    <w:rsid w:val="0078068A"/>
    <w:rsid w:val="007833E4"/>
    <w:rsid w:val="007918BC"/>
    <w:rsid w:val="0079601C"/>
    <w:rsid w:val="007A3157"/>
    <w:rsid w:val="007A6571"/>
    <w:rsid w:val="007B5A2B"/>
    <w:rsid w:val="007B6174"/>
    <w:rsid w:val="007B6626"/>
    <w:rsid w:val="007B6FFF"/>
    <w:rsid w:val="007C027A"/>
    <w:rsid w:val="007C4B53"/>
    <w:rsid w:val="007C79EC"/>
    <w:rsid w:val="007C7B02"/>
    <w:rsid w:val="007D0DEE"/>
    <w:rsid w:val="007D37E4"/>
    <w:rsid w:val="007D6682"/>
    <w:rsid w:val="007F1381"/>
    <w:rsid w:val="007F2103"/>
    <w:rsid w:val="007F28E6"/>
    <w:rsid w:val="007F5C8E"/>
    <w:rsid w:val="008016D5"/>
    <w:rsid w:val="008048EF"/>
    <w:rsid w:val="00804F72"/>
    <w:rsid w:val="0080685D"/>
    <w:rsid w:val="00810615"/>
    <w:rsid w:val="0081223F"/>
    <w:rsid w:val="00814F71"/>
    <w:rsid w:val="00821E3F"/>
    <w:rsid w:val="00822601"/>
    <w:rsid w:val="00822830"/>
    <w:rsid w:val="00823320"/>
    <w:rsid w:val="00831C30"/>
    <w:rsid w:val="00840174"/>
    <w:rsid w:val="008417F4"/>
    <w:rsid w:val="00842224"/>
    <w:rsid w:val="00843285"/>
    <w:rsid w:val="00847D0F"/>
    <w:rsid w:val="00850ED5"/>
    <w:rsid w:val="00853F5B"/>
    <w:rsid w:val="00854657"/>
    <w:rsid w:val="0086556D"/>
    <w:rsid w:val="0086789A"/>
    <w:rsid w:val="00883A48"/>
    <w:rsid w:val="00886547"/>
    <w:rsid w:val="008905DD"/>
    <w:rsid w:val="00892ECB"/>
    <w:rsid w:val="008A1467"/>
    <w:rsid w:val="008A5A73"/>
    <w:rsid w:val="008A64D6"/>
    <w:rsid w:val="008A698E"/>
    <w:rsid w:val="008B149E"/>
    <w:rsid w:val="008B2E69"/>
    <w:rsid w:val="008B5701"/>
    <w:rsid w:val="008C050A"/>
    <w:rsid w:val="008C56E5"/>
    <w:rsid w:val="008C6192"/>
    <w:rsid w:val="008C7AEC"/>
    <w:rsid w:val="008E07AA"/>
    <w:rsid w:val="008F3BA0"/>
    <w:rsid w:val="008F5F53"/>
    <w:rsid w:val="008F608D"/>
    <w:rsid w:val="008F6EB9"/>
    <w:rsid w:val="00900485"/>
    <w:rsid w:val="00902536"/>
    <w:rsid w:val="00902EFF"/>
    <w:rsid w:val="00904A3B"/>
    <w:rsid w:val="00905BB1"/>
    <w:rsid w:val="009079DA"/>
    <w:rsid w:val="00916F47"/>
    <w:rsid w:val="00917645"/>
    <w:rsid w:val="00920014"/>
    <w:rsid w:val="00923F56"/>
    <w:rsid w:val="00927E5C"/>
    <w:rsid w:val="00931482"/>
    <w:rsid w:val="009324C3"/>
    <w:rsid w:val="0093255E"/>
    <w:rsid w:val="00936955"/>
    <w:rsid w:val="009536AE"/>
    <w:rsid w:val="00953EA9"/>
    <w:rsid w:val="00964B29"/>
    <w:rsid w:val="0096624C"/>
    <w:rsid w:val="00980F91"/>
    <w:rsid w:val="009829A7"/>
    <w:rsid w:val="009846C6"/>
    <w:rsid w:val="0098520D"/>
    <w:rsid w:val="009878BD"/>
    <w:rsid w:val="00987CF9"/>
    <w:rsid w:val="00990CFC"/>
    <w:rsid w:val="00996BE3"/>
    <w:rsid w:val="009A2A70"/>
    <w:rsid w:val="009B36BC"/>
    <w:rsid w:val="009B45B3"/>
    <w:rsid w:val="009B4BD0"/>
    <w:rsid w:val="009B571D"/>
    <w:rsid w:val="009C331C"/>
    <w:rsid w:val="009C5052"/>
    <w:rsid w:val="009C5246"/>
    <w:rsid w:val="009C6E89"/>
    <w:rsid w:val="009D0D71"/>
    <w:rsid w:val="009D274E"/>
    <w:rsid w:val="009D56B4"/>
    <w:rsid w:val="009D6442"/>
    <w:rsid w:val="009D744C"/>
    <w:rsid w:val="009D77EE"/>
    <w:rsid w:val="009E0E38"/>
    <w:rsid w:val="009E188C"/>
    <w:rsid w:val="009E2623"/>
    <w:rsid w:val="009E2942"/>
    <w:rsid w:val="009E39C8"/>
    <w:rsid w:val="009E3E52"/>
    <w:rsid w:val="009E6111"/>
    <w:rsid w:val="009E6445"/>
    <w:rsid w:val="009F0384"/>
    <w:rsid w:val="009F1F4A"/>
    <w:rsid w:val="009F2460"/>
    <w:rsid w:val="009F482C"/>
    <w:rsid w:val="009F7956"/>
    <w:rsid w:val="00A02386"/>
    <w:rsid w:val="00A02CAC"/>
    <w:rsid w:val="00A046EC"/>
    <w:rsid w:val="00A247CC"/>
    <w:rsid w:val="00A324FF"/>
    <w:rsid w:val="00A33BE6"/>
    <w:rsid w:val="00A341D6"/>
    <w:rsid w:val="00A52E07"/>
    <w:rsid w:val="00A61568"/>
    <w:rsid w:val="00A63B9F"/>
    <w:rsid w:val="00A93600"/>
    <w:rsid w:val="00A9516B"/>
    <w:rsid w:val="00AA17F8"/>
    <w:rsid w:val="00AA2CA8"/>
    <w:rsid w:val="00AA5C78"/>
    <w:rsid w:val="00AB4006"/>
    <w:rsid w:val="00AB56A2"/>
    <w:rsid w:val="00AC075C"/>
    <w:rsid w:val="00AC3650"/>
    <w:rsid w:val="00AD0FCE"/>
    <w:rsid w:val="00AD115C"/>
    <w:rsid w:val="00AE0D4C"/>
    <w:rsid w:val="00AE596A"/>
    <w:rsid w:val="00AF33D2"/>
    <w:rsid w:val="00AF421F"/>
    <w:rsid w:val="00AF4BD4"/>
    <w:rsid w:val="00B05540"/>
    <w:rsid w:val="00B14707"/>
    <w:rsid w:val="00B15CF5"/>
    <w:rsid w:val="00B223D9"/>
    <w:rsid w:val="00B25BE2"/>
    <w:rsid w:val="00B261C3"/>
    <w:rsid w:val="00B270C0"/>
    <w:rsid w:val="00B36537"/>
    <w:rsid w:val="00B43FC6"/>
    <w:rsid w:val="00B45F53"/>
    <w:rsid w:val="00B50490"/>
    <w:rsid w:val="00B52BA3"/>
    <w:rsid w:val="00B57F5F"/>
    <w:rsid w:val="00B632F8"/>
    <w:rsid w:val="00B632FD"/>
    <w:rsid w:val="00B63AC4"/>
    <w:rsid w:val="00B76549"/>
    <w:rsid w:val="00B8242A"/>
    <w:rsid w:val="00B8434B"/>
    <w:rsid w:val="00B870EB"/>
    <w:rsid w:val="00B87C1A"/>
    <w:rsid w:val="00B937C9"/>
    <w:rsid w:val="00BA0C12"/>
    <w:rsid w:val="00BA10E1"/>
    <w:rsid w:val="00BA17BE"/>
    <w:rsid w:val="00BA6C6B"/>
    <w:rsid w:val="00BA7D40"/>
    <w:rsid w:val="00BC6C20"/>
    <w:rsid w:val="00BD53CD"/>
    <w:rsid w:val="00BE1780"/>
    <w:rsid w:val="00BE2440"/>
    <w:rsid w:val="00BE48B7"/>
    <w:rsid w:val="00BE687D"/>
    <w:rsid w:val="00BF1144"/>
    <w:rsid w:val="00BF1930"/>
    <w:rsid w:val="00BF4CF5"/>
    <w:rsid w:val="00C0541E"/>
    <w:rsid w:val="00C2096E"/>
    <w:rsid w:val="00C22A6C"/>
    <w:rsid w:val="00C31B6A"/>
    <w:rsid w:val="00C36D71"/>
    <w:rsid w:val="00C42BC3"/>
    <w:rsid w:val="00C507A0"/>
    <w:rsid w:val="00C61909"/>
    <w:rsid w:val="00C7006B"/>
    <w:rsid w:val="00C76125"/>
    <w:rsid w:val="00C77025"/>
    <w:rsid w:val="00C82B22"/>
    <w:rsid w:val="00C84BCF"/>
    <w:rsid w:val="00C85921"/>
    <w:rsid w:val="00C869AD"/>
    <w:rsid w:val="00C9063C"/>
    <w:rsid w:val="00C9073A"/>
    <w:rsid w:val="00C92573"/>
    <w:rsid w:val="00C94567"/>
    <w:rsid w:val="00C94584"/>
    <w:rsid w:val="00C95F52"/>
    <w:rsid w:val="00C9659F"/>
    <w:rsid w:val="00CA05B1"/>
    <w:rsid w:val="00CA3194"/>
    <w:rsid w:val="00CA3222"/>
    <w:rsid w:val="00CA33F6"/>
    <w:rsid w:val="00CA5846"/>
    <w:rsid w:val="00CA63FB"/>
    <w:rsid w:val="00CA6CB6"/>
    <w:rsid w:val="00CA75B5"/>
    <w:rsid w:val="00CB3530"/>
    <w:rsid w:val="00CB59FE"/>
    <w:rsid w:val="00CC0113"/>
    <w:rsid w:val="00CD3E9B"/>
    <w:rsid w:val="00CD526E"/>
    <w:rsid w:val="00CE049C"/>
    <w:rsid w:val="00CE4C06"/>
    <w:rsid w:val="00CF0511"/>
    <w:rsid w:val="00CF183F"/>
    <w:rsid w:val="00CF22B9"/>
    <w:rsid w:val="00CF3642"/>
    <w:rsid w:val="00CF4331"/>
    <w:rsid w:val="00CF7BBD"/>
    <w:rsid w:val="00D04F41"/>
    <w:rsid w:val="00D10B40"/>
    <w:rsid w:val="00D2136F"/>
    <w:rsid w:val="00D244F9"/>
    <w:rsid w:val="00D24F63"/>
    <w:rsid w:val="00D260F0"/>
    <w:rsid w:val="00D3012E"/>
    <w:rsid w:val="00D30BBE"/>
    <w:rsid w:val="00D350AF"/>
    <w:rsid w:val="00D350B8"/>
    <w:rsid w:val="00D35E87"/>
    <w:rsid w:val="00D51669"/>
    <w:rsid w:val="00D5735B"/>
    <w:rsid w:val="00D57567"/>
    <w:rsid w:val="00D64C73"/>
    <w:rsid w:val="00D70FE5"/>
    <w:rsid w:val="00D75D0C"/>
    <w:rsid w:val="00D76EED"/>
    <w:rsid w:val="00D77607"/>
    <w:rsid w:val="00D77F7C"/>
    <w:rsid w:val="00D846DD"/>
    <w:rsid w:val="00D87796"/>
    <w:rsid w:val="00D9154B"/>
    <w:rsid w:val="00D91A5B"/>
    <w:rsid w:val="00DA0EAC"/>
    <w:rsid w:val="00DA5405"/>
    <w:rsid w:val="00DA780E"/>
    <w:rsid w:val="00DC1C5E"/>
    <w:rsid w:val="00DC4173"/>
    <w:rsid w:val="00DD0E7A"/>
    <w:rsid w:val="00DD659C"/>
    <w:rsid w:val="00DE3271"/>
    <w:rsid w:val="00DF024D"/>
    <w:rsid w:val="00E0165F"/>
    <w:rsid w:val="00E04E24"/>
    <w:rsid w:val="00E141F7"/>
    <w:rsid w:val="00E16A28"/>
    <w:rsid w:val="00E20777"/>
    <w:rsid w:val="00E32FD5"/>
    <w:rsid w:val="00E336E7"/>
    <w:rsid w:val="00E35D7F"/>
    <w:rsid w:val="00E36EEA"/>
    <w:rsid w:val="00E37CF8"/>
    <w:rsid w:val="00E56050"/>
    <w:rsid w:val="00E56C8E"/>
    <w:rsid w:val="00E6020E"/>
    <w:rsid w:val="00E610E1"/>
    <w:rsid w:val="00E61290"/>
    <w:rsid w:val="00E618C5"/>
    <w:rsid w:val="00E672DD"/>
    <w:rsid w:val="00E71722"/>
    <w:rsid w:val="00E7400D"/>
    <w:rsid w:val="00E84050"/>
    <w:rsid w:val="00E84B6E"/>
    <w:rsid w:val="00E85176"/>
    <w:rsid w:val="00E8638C"/>
    <w:rsid w:val="00E90E05"/>
    <w:rsid w:val="00E96C7C"/>
    <w:rsid w:val="00EA1690"/>
    <w:rsid w:val="00EA3084"/>
    <w:rsid w:val="00EB5178"/>
    <w:rsid w:val="00EB72F8"/>
    <w:rsid w:val="00EC3301"/>
    <w:rsid w:val="00ED1A6A"/>
    <w:rsid w:val="00ED41F1"/>
    <w:rsid w:val="00EE1E66"/>
    <w:rsid w:val="00EE48FE"/>
    <w:rsid w:val="00EE724E"/>
    <w:rsid w:val="00F0053A"/>
    <w:rsid w:val="00F035CD"/>
    <w:rsid w:val="00F04153"/>
    <w:rsid w:val="00F068E1"/>
    <w:rsid w:val="00F07ADD"/>
    <w:rsid w:val="00F07ED8"/>
    <w:rsid w:val="00F11BF5"/>
    <w:rsid w:val="00F15869"/>
    <w:rsid w:val="00F21E08"/>
    <w:rsid w:val="00F22230"/>
    <w:rsid w:val="00F25E07"/>
    <w:rsid w:val="00F27A8A"/>
    <w:rsid w:val="00F32CC2"/>
    <w:rsid w:val="00F42959"/>
    <w:rsid w:val="00F45437"/>
    <w:rsid w:val="00F5093D"/>
    <w:rsid w:val="00F5108B"/>
    <w:rsid w:val="00F54F92"/>
    <w:rsid w:val="00F6662B"/>
    <w:rsid w:val="00F67F4D"/>
    <w:rsid w:val="00F74C65"/>
    <w:rsid w:val="00F770BA"/>
    <w:rsid w:val="00F80A47"/>
    <w:rsid w:val="00F821DA"/>
    <w:rsid w:val="00F84DE2"/>
    <w:rsid w:val="00F86C57"/>
    <w:rsid w:val="00F87D1E"/>
    <w:rsid w:val="00F92F3E"/>
    <w:rsid w:val="00F94427"/>
    <w:rsid w:val="00FA00A3"/>
    <w:rsid w:val="00FA101A"/>
    <w:rsid w:val="00FA3617"/>
    <w:rsid w:val="00FB1FE4"/>
    <w:rsid w:val="00FB2038"/>
    <w:rsid w:val="00FB2952"/>
    <w:rsid w:val="00FC0104"/>
    <w:rsid w:val="00FC3A18"/>
    <w:rsid w:val="00FC625A"/>
    <w:rsid w:val="00FC6F76"/>
    <w:rsid w:val="00FD1E7E"/>
    <w:rsid w:val="00FD30A4"/>
    <w:rsid w:val="00FD45AC"/>
    <w:rsid w:val="00FD6BF1"/>
    <w:rsid w:val="00FD6CBF"/>
    <w:rsid w:val="00FE752E"/>
    <w:rsid w:val="00FF07E0"/>
    <w:rsid w:val="00FF0842"/>
    <w:rsid w:val="00FF2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D5DBD2"/>
  <w14:defaultImageDpi w14:val="330"/>
  <w15:chartTrackingRefBased/>
  <w15:docId w15:val="{66B20A29-FCA0-4C20-85A8-5F021EF5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FD6BF1"/>
    <w:pPr>
      <w:widowControl w:val="0"/>
      <w:spacing w:after="240" w:line="300" w:lineRule="auto"/>
    </w:pPr>
    <w:rPr>
      <w:rFonts w:ascii="Arial" w:hAnsi="Arial" w:cs="Times New Roman"/>
      <w:color w:val="0D0D0D" w:themeColor="text1" w:themeTint="F2"/>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853F5B"/>
    <w:pPr>
      <w:keepNext/>
      <w:keepLines/>
      <w:spacing w:after="40" w:line="240" w:lineRule="auto"/>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paragraph" w:styleId="Heading5">
    <w:name w:val="heading 5"/>
    <w:basedOn w:val="Normal"/>
    <w:next w:val="Normal"/>
    <w:link w:val="Heading5Char"/>
    <w:uiPriority w:val="9"/>
    <w:semiHidden/>
    <w:unhideWhenUsed/>
    <w:rsid w:val="00D75D0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75D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D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D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D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853F5B"/>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pPr>
  </w:style>
  <w:style w:type="paragraph" w:styleId="List">
    <w:name w:val="List"/>
    <w:basedOn w:val="Normal"/>
    <w:uiPriority w:val="99"/>
    <w:semiHidden/>
    <w:unhideWhenUsed/>
    <w:rsid w:val="008F5F53"/>
    <w:pPr>
      <w:ind w:left="283" w:hanging="283"/>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line="340" w:lineRule="exact"/>
      <w:ind w:left="704" w:hanging="284"/>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hAnsi="Arial" w:cs="Times New Roman"/>
      <w:color w:val="0D0D0D" w:themeColor="text1" w:themeTint="F2"/>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AC075C"/>
    <w:pPr>
      <w:numPr>
        <w:numId w:val="32"/>
      </w:numPr>
      <w:spacing w:after="120" w:line="240" w:lineRule="auto"/>
      <w:ind w:left="284" w:hanging="284"/>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character" w:customStyle="1" w:styleId="Heading5Char">
    <w:name w:val="Heading 5 Char"/>
    <w:basedOn w:val="DefaultParagraphFont"/>
    <w:link w:val="Heading5"/>
    <w:uiPriority w:val="9"/>
    <w:semiHidden/>
    <w:rsid w:val="00D75D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7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D0C"/>
    <w:rPr>
      <w:rFonts w:eastAsiaTheme="majorEastAsia" w:cstheme="majorBidi"/>
      <w:color w:val="272727" w:themeColor="text1" w:themeTint="D8"/>
    </w:rPr>
  </w:style>
  <w:style w:type="paragraph" w:styleId="Title">
    <w:name w:val="Title"/>
    <w:basedOn w:val="Normal"/>
    <w:next w:val="Normal"/>
    <w:link w:val="TitleChar"/>
    <w:uiPriority w:val="10"/>
    <w:rsid w:val="00D75D0C"/>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D0C"/>
    <w:rPr>
      <w:rFonts w:asciiTheme="majorHAnsi" w:eastAsiaTheme="majorEastAsia" w:hAnsiTheme="majorHAnsi" w:cstheme="majorBidi"/>
      <w:color w:val="0D0D0D" w:themeColor="text1" w:themeTint="F2"/>
      <w:spacing w:val="-10"/>
      <w:kern w:val="28"/>
      <w:sz w:val="56"/>
      <w:szCs w:val="56"/>
    </w:rPr>
  </w:style>
  <w:style w:type="paragraph" w:styleId="Subtitle">
    <w:name w:val="Subtitle"/>
    <w:basedOn w:val="Normal"/>
    <w:next w:val="Normal"/>
    <w:link w:val="SubtitleChar"/>
    <w:uiPriority w:val="11"/>
    <w:rsid w:val="00D75D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75D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D0C"/>
    <w:rPr>
      <w:rFonts w:ascii="Arial" w:hAnsi="Arial" w:cs="Times New Roman"/>
      <w:i/>
      <w:iCs/>
      <w:color w:val="404040" w:themeColor="text1" w:themeTint="BF"/>
    </w:rPr>
  </w:style>
  <w:style w:type="character" w:styleId="IntenseEmphasis">
    <w:name w:val="Intense Emphasis"/>
    <w:basedOn w:val="DefaultParagraphFont"/>
    <w:uiPriority w:val="21"/>
    <w:rsid w:val="00D75D0C"/>
    <w:rPr>
      <w:i/>
      <w:iCs/>
      <w:color w:val="365F91" w:themeColor="accent1" w:themeShade="BF"/>
    </w:rPr>
  </w:style>
  <w:style w:type="paragraph" w:styleId="IntenseQuote">
    <w:name w:val="Intense Quote"/>
    <w:basedOn w:val="Normal"/>
    <w:next w:val="Normal"/>
    <w:link w:val="IntenseQuoteChar"/>
    <w:uiPriority w:val="30"/>
    <w:rsid w:val="00D75D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75D0C"/>
    <w:rPr>
      <w:rFonts w:ascii="Arial" w:hAnsi="Arial" w:cs="Times New Roman"/>
      <w:i/>
      <w:iCs/>
      <w:color w:val="365F91" w:themeColor="accent1" w:themeShade="BF"/>
    </w:rPr>
  </w:style>
  <w:style w:type="character" w:styleId="IntenseReference">
    <w:name w:val="Intense Reference"/>
    <w:basedOn w:val="DefaultParagraphFont"/>
    <w:uiPriority w:val="32"/>
    <w:rsid w:val="00D75D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9DDD9-F9B3-45BB-B9C9-F0931FAD39EB}">
  <ds:schemaRefs>
    <ds:schemaRef ds:uri="http://schemas.openxmlformats.org/package/2006/metadata/core-properties"/>
    <ds:schemaRef ds:uri="http://purl.org/dc/terms/"/>
    <ds:schemaRef ds:uri="f892bc6d-4373-4448-9da1-3e4deb534658"/>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4c0fc6d1-1ff6-4501-9111-f8704c4ff172"/>
    <ds:schemaRef ds:uri="http://www.w3.org/XML/1998/namespace"/>
  </ds:schemaRefs>
</ds:datastoreItem>
</file>

<file path=customXml/itemProps2.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3.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4.xml><?xml version="1.0" encoding="utf-8"?>
<ds:datastoreItem xmlns:ds="http://schemas.openxmlformats.org/officeDocument/2006/customXml" ds:itemID="{B35D3992-48A5-4C11-90C7-DEFE46083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TTFAC notes</dc:title>
  <dc:subject/>
  <dc:creator>Lorraine Bennett</dc:creator>
  <cp:keywords/>
  <dc:description/>
  <cp:lastModifiedBy>Lorraine Bennett</cp:lastModifiedBy>
  <cp:revision>278</cp:revision>
  <cp:lastPrinted>2022-07-21T08:46:00Z</cp:lastPrinted>
  <dcterms:created xsi:type="dcterms:W3CDTF">2025-05-16T12:06:00Z</dcterms:created>
  <dcterms:modified xsi:type="dcterms:W3CDTF">2025-07-24T16:10:00Z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