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99CD" w14:textId="77777777" w:rsidR="00393DBB" w:rsidRDefault="006466D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7D4852" wp14:editId="154C5838">
            <wp:extent cx="5639753" cy="609600"/>
            <wp:effectExtent l="0" t="0" r="0" b="0"/>
            <wp:docPr id="1" name="image1.jpeg" descr="M:\Internal\Brand\Image library\Logos\Partnership logos\Joint TPR FCA MaPs banne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75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24B0" w14:textId="77777777" w:rsidR="00393DBB" w:rsidRDefault="006466D7" w:rsidP="00B8209E">
      <w:r>
        <w:t>Dear</w:t>
      </w:r>
      <w:r>
        <w:rPr>
          <w:spacing w:val="-3"/>
        </w:rPr>
        <w:t xml:space="preserve"> </w:t>
      </w:r>
      <w:r>
        <w:t>Member</w:t>
      </w:r>
    </w:p>
    <w:p w14:paraId="39970097" w14:textId="19B870D8" w:rsidR="00393DBB" w:rsidRDefault="006466D7" w:rsidP="00B8209E">
      <w:r>
        <w:t>We</w:t>
      </w:r>
      <w:r>
        <w:rPr>
          <w:spacing w:val="-6"/>
        </w:rPr>
        <w:t xml:space="preserve"> </w:t>
      </w:r>
      <w:r>
        <w:t>are writing to</w:t>
      </w:r>
      <w:r>
        <w:rPr>
          <w:spacing w:val="-4"/>
        </w:rPr>
        <w:t xml:space="preserve"> </w:t>
      </w:r>
      <w:r>
        <w:t>you as</w:t>
      </w:r>
      <w:r>
        <w:rPr>
          <w:spacing w:val="-4"/>
        </w:rPr>
        <w:t xml:space="preserve"> </w:t>
      </w:r>
      <w:r>
        <w:t>you may</w:t>
      </w:r>
      <w:r>
        <w:rPr>
          <w:spacing w:val="-4"/>
        </w:rPr>
        <w:t xml:space="preserve"> </w:t>
      </w:r>
      <w:r>
        <w:t>be considering transferring your</w:t>
      </w:r>
      <w:r>
        <w:rPr>
          <w:spacing w:val="-3"/>
        </w:rPr>
        <w:t xml:space="preserve"> </w:t>
      </w:r>
      <w:r>
        <w:t>pension.</w:t>
      </w:r>
      <w:r>
        <w:rPr>
          <w:spacing w:val="-3"/>
        </w:rPr>
        <w:t xml:space="preserve"> </w:t>
      </w:r>
      <w:r w:rsidR="00B8209E">
        <w:t>Y</w:t>
      </w:r>
      <w:r>
        <w:t xml:space="preserve">our pension </w:t>
      </w:r>
      <w:r w:rsidR="00B8209E">
        <w:t xml:space="preserve">is </w:t>
      </w:r>
      <w:r>
        <w:t>a safe, long-term investment for your retirement</w:t>
      </w:r>
      <w:r w:rsidR="00B8209E">
        <w:t>.</w:t>
      </w:r>
      <w:r>
        <w:t xml:space="preserve"> </w:t>
      </w:r>
      <w:r w:rsidR="00B8209E">
        <w:t>T</w:t>
      </w:r>
      <w:r>
        <w:t>ransferring it is a serious decision so please do not do anything in haste.</w:t>
      </w:r>
    </w:p>
    <w:p w14:paraId="70FE68EF" w14:textId="6688F625" w:rsidR="00393DBB" w:rsidRDefault="00B8209E" w:rsidP="00B8209E">
      <w:pPr>
        <w:pStyle w:val="Heading2"/>
      </w:pPr>
      <w:r>
        <w:t>Avoid pension scams</w:t>
      </w:r>
    </w:p>
    <w:p w14:paraId="6B0C8EFC" w14:textId="44B299C8" w:rsidR="00393DBB" w:rsidRDefault="006466D7" w:rsidP="00B8209E">
      <w:r>
        <w:t>If anyone approaches you directly to offer transfer advice, be on your guard. The</w:t>
      </w:r>
      <w:r>
        <w:rPr>
          <w:spacing w:val="40"/>
        </w:rPr>
        <w:t xml:space="preserve"> </w:t>
      </w:r>
      <w:r>
        <w:t>government has banned cold calling for pensions, so if anyone calls you out of the blue about yours,</w:t>
      </w:r>
      <w:r>
        <w:rPr>
          <w:spacing w:val="-5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hang up –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scam.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ScamSmart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to check the firm you are dealing with is regulated and to see whether what you’re being offered is a known scam or has the signs of a scam.</w:t>
      </w:r>
      <w:r w:rsidR="008D51BB" w:rsidRPr="008D51BB">
        <w:t xml:space="preserve"> </w:t>
      </w:r>
      <w:r w:rsidR="00E83636">
        <w:t>See:</w:t>
      </w:r>
      <w:r w:rsidR="008D51BB">
        <w:t xml:space="preserve"> </w:t>
      </w:r>
      <w:hyperlink r:id="rId10">
        <w:r w:rsidR="008D51BB">
          <w:rPr>
            <w:u w:val="single"/>
          </w:rPr>
          <w:t>www.fca.org.uk/scamsmart</w:t>
        </w:r>
        <w:r w:rsidR="008D51BB">
          <w:t xml:space="preserve"> </w:t>
        </w:r>
      </w:hyperlink>
    </w:p>
    <w:p w14:paraId="3A154860" w14:textId="28585A09" w:rsidR="00B8209E" w:rsidRDefault="00B8209E" w:rsidP="00B8209E">
      <w:pPr>
        <w:pStyle w:val="Heading2"/>
      </w:pPr>
      <w:proofErr w:type="spellStart"/>
      <w:r>
        <w:t>Its</w:t>
      </w:r>
      <w:proofErr w:type="spellEnd"/>
      <w:r>
        <w:t xml:space="preserve"> in most people’s best interests to keep their defined benefit pension</w:t>
      </w:r>
    </w:p>
    <w:p w14:paraId="5BD6449E" w14:textId="181D5AE1" w:rsidR="00393DBB" w:rsidRDefault="006466D7" w:rsidP="00B8209E"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pension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(DB)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(DC).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have a DB pension, the benefits you’ll get in retirement (including how much you get paid each month) are specified. With a DC pension, your benefits will depend on the performance</w:t>
      </w:r>
      <w:r>
        <w:rPr>
          <w:spacing w:val="-2"/>
        </w:rPr>
        <w:t xml:space="preserve"> </w:t>
      </w:r>
      <w:r>
        <w:t>of investments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contributions</w:t>
      </w:r>
      <w:r>
        <w:rPr>
          <w:spacing w:val="-2"/>
        </w:rPr>
        <w:t xml:space="preserve"> </w:t>
      </w:r>
      <w:r>
        <w:t>made by</w:t>
      </w:r>
      <w:r>
        <w:rPr>
          <w:spacing w:val="-2"/>
        </w:rPr>
        <w:t xml:space="preserve"> </w:t>
      </w:r>
      <w:r>
        <w:t>you and your employer before your retirement.</w:t>
      </w:r>
    </w:p>
    <w:p w14:paraId="461350F7" w14:textId="14BA1A8A" w:rsidR="00393DBB" w:rsidRDefault="006466D7" w:rsidP="006466D7">
      <w:r>
        <w:t>In most cases, transferring out of a DB pension scheme into a different type of pension arrangement is unlikely to be in your best long-term interests as you’ll be giving up a valuable level of predictability in your retirement income.</w:t>
      </w:r>
    </w:p>
    <w:p w14:paraId="6E15FF53" w14:textId="77777777" w:rsidR="00393DBB" w:rsidRDefault="006466D7" w:rsidP="006466D7">
      <w:pPr>
        <w:pStyle w:val="Heading2"/>
      </w:pPr>
      <w:r>
        <w:t>Please</w:t>
      </w:r>
      <w:r>
        <w:rPr>
          <w:spacing w:val="-2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can’t change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you’ve</w:t>
      </w:r>
      <w:r>
        <w:rPr>
          <w:spacing w:val="-2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DB pension.</w:t>
      </w:r>
    </w:p>
    <w:p w14:paraId="5CF10D0F" w14:textId="4298CD17" w:rsidR="00393DBB" w:rsidRDefault="006466D7" w:rsidP="006466D7"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decision.</w:t>
      </w:r>
      <w:r>
        <w:rPr>
          <w:spacing w:val="-4"/>
        </w:rPr>
        <w:t xml:space="preserve"> MoneyHelper is provided by</w:t>
      </w:r>
      <w:r>
        <w:t xml:space="preserve"> the Money and Pensions Service and offers free specialist pensions guidance and will help answer any questions you may have. If your transfer value is more than £30,000, you are required by law to take advice from a suitably qualified financial adviser regulated by the Financial Conduct Authority (FCA), before you can transfer your benefits to a DC pension scheme.</w:t>
      </w:r>
    </w:p>
    <w:p w14:paraId="268EE6AC" w14:textId="77777777" w:rsidR="00393DBB" w:rsidRDefault="00393DBB">
      <w:pPr>
        <w:spacing w:line="360" w:lineRule="auto"/>
        <w:sectPr w:rsidR="00393DBB">
          <w:footerReference w:type="default" r:id="rId11"/>
          <w:type w:val="continuous"/>
          <w:pgSz w:w="11910" w:h="16840"/>
          <w:pgMar w:top="1420" w:right="1340" w:bottom="280" w:left="1340" w:header="720" w:footer="720" w:gutter="0"/>
          <w:cols w:space="720"/>
        </w:sectPr>
      </w:pPr>
    </w:p>
    <w:p w14:paraId="0F3ECD3D" w14:textId="21E6B8E0" w:rsidR="00393DBB" w:rsidRDefault="006466D7" w:rsidP="006466D7">
      <w:r>
        <w:lastRenderedPageBreak/>
        <w:t>Take</w:t>
      </w:r>
      <w:r>
        <w:rPr>
          <w:spacing w:val="-3"/>
        </w:rPr>
        <w:t xml:space="preserve"> </w:t>
      </w:r>
      <w:r>
        <w:t>your 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checks you</w:t>
      </w:r>
      <w:r>
        <w:rPr>
          <w:spacing w:val="-1"/>
        </w:rPr>
        <w:t xml:space="preserve"> </w:t>
      </w:r>
      <w:r>
        <w:t>need. Find out more:</w:t>
      </w:r>
      <w:r>
        <w:rPr>
          <w:spacing w:val="-3"/>
        </w:rPr>
        <w:t xml:space="preserve"> </w:t>
      </w:r>
      <w:hyperlink r:id="rId12" w:history="1">
        <w:r w:rsidR="00F51C4D" w:rsidRPr="009E1CDD">
          <w:rPr>
            <w:rStyle w:val="Hyperlink"/>
            <w:spacing w:val="-3"/>
          </w:rPr>
          <w:t>www.fca.org.uk?consumers/pension-transfer-defined-benefit</w:t>
        </w:r>
      </w:hyperlink>
      <w:r w:rsidR="00F51C4D">
        <w:rPr>
          <w:spacing w:val="-3"/>
        </w:rPr>
        <w:t xml:space="preserve"> </w:t>
      </w:r>
    </w:p>
    <w:p w14:paraId="77545E32" w14:textId="77777777" w:rsidR="00393DBB" w:rsidRDefault="00393DBB" w:rsidP="006466D7"/>
    <w:p w14:paraId="7AAE977A" w14:textId="77777777" w:rsidR="00393DBB" w:rsidRDefault="00393DBB" w:rsidP="006466D7"/>
    <w:p w14:paraId="16F61224" w14:textId="77777777" w:rsidR="00393DBB" w:rsidRDefault="006466D7" w:rsidP="006466D7">
      <w:r>
        <w:t>Yours</w:t>
      </w:r>
      <w:r>
        <w:rPr>
          <w:spacing w:val="-2"/>
        </w:rPr>
        <w:t xml:space="preserve"> sincerely</w:t>
      </w:r>
    </w:p>
    <w:p w14:paraId="3F2D88AB" w14:textId="77777777" w:rsidR="006466D7" w:rsidRPr="006466D7" w:rsidRDefault="006466D7" w:rsidP="006466D7">
      <w:pPr>
        <w:spacing w:before="8" w:after="0" w:line="240" w:lineRule="auto"/>
        <w:rPr>
          <w:color w:val="auto"/>
          <w:sz w:val="28"/>
          <w:lang w:val="en-US"/>
        </w:rPr>
      </w:pPr>
      <w:r w:rsidRPr="006466D7">
        <w:rPr>
          <w:noProof/>
          <w:color w:val="auto"/>
          <w:sz w:val="22"/>
          <w:lang w:val="en-US"/>
        </w:rPr>
        <w:drawing>
          <wp:anchor distT="0" distB="0" distL="0" distR="0" simplePos="0" relativeHeight="251662336" behindDoc="0" locked="0" layoutInCell="1" allowOverlap="1" wp14:anchorId="61BE7FE3" wp14:editId="643D081F">
            <wp:simplePos x="0" y="0"/>
            <wp:positionH relativeFrom="page">
              <wp:posOffset>699134</wp:posOffset>
            </wp:positionH>
            <wp:positionV relativeFrom="paragraph">
              <wp:posOffset>260834</wp:posOffset>
            </wp:positionV>
            <wp:extent cx="1208063" cy="442341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63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6D7">
        <w:rPr>
          <w:noProof/>
          <w:color w:val="auto"/>
          <w:sz w:val="22"/>
          <w:lang w:val="en-US"/>
        </w:rPr>
        <w:drawing>
          <wp:anchor distT="0" distB="0" distL="0" distR="0" simplePos="0" relativeHeight="251660288" behindDoc="0" locked="0" layoutInCell="1" allowOverlap="1" wp14:anchorId="146D733E" wp14:editId="45EACD2B">
            <wp:simplePos x="0" y="0"/>
            <wp:positionH relativeFrom="page">
              <wp:posOffset>2496185</wp:posOffset>
            </wp:positionH>
            <wp:positionV relativeFrom="paragraph">
              <wp:posOffset>264020</wp:posOffset>
            </wp:positionV>
            <wp:extent cx="1123976" cy="428625"/>
            <wp:effectExtent l="0" t="0" r="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7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6D7">
        <w:rPr>
          <w:noProof/>
          <w:color w:val="auto"/>
          <w:sz w:val="22"/>
          <w:lang w:val="en-US"/>
        </w:rPr>
        <w:drawing>
          <wp:anchor distT="0" distB="0" distL="0" distR="0" simplePos="0" relativeHeight="251661312" behindDoc="0" locked="0" layoutInCell="1" allowOverlap="1" wp14:anchorId="5BCDB493" wp14:editId="7D954FF4">
            <wp:simplePos x="0" y="0"/>
            <wp:positionH relativeFrom="page">
              <wp:posOffset>4386579</wp:posOffset>
            </wp:positionH>
            <wp:positionV relativeFrom="paragraph">
              <wp:posOffset>225095</wp:posOffset>
            </wp:positionV>
            <wp:extent cx="1150351" cy="51196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51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0D79F" w14:textId="77777777" w:rsidR="006466D7" w:rsidRPr="006466D7" w:rsidRDefault="006466D7" w:rsidP="006466D7">
      <w:pPr>
        <w:spacing w:after="0" w:line="240" w:lineRule="auto"/>
        <w:rPr>
          <w:color w:val="auto"/>
          <w:sz w:val="20"/>
          <w:lang w:val="en-US"/>
        </w:rPr>
      </w:pPr>
    </w:p>
    <w:p w14:paraId="5CBCBDE2" w14:textId="77777777" w:rsidR="006466D7" w:rsidRPr="006466D7" w:rsidRDefault="006466D7" w:rsidP="006466D7">
      <w:pPr>
        <w:spacing w:after="1" w:line="240" w:lineRule="auto"/>
        <w:rPr>
          <w:color w:val="auto"/>
          <w:sz w:val="12"/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3103"/>
        <w:gridCol w:w="2720"/>
      </w:tblGrid>
      <w:tr w:rsidR="006466D7" w:rsidRPr="006466D7" w14:paraId="6791BCA8" w14:textId="77777777" w:rsidTr="00484550">
        <w:trPr>
          <w:trHeight w:val="273"/>
        </w:trPr>
        <w:tc>
          <w:tcPr>
            <w:tcW w:w="2458" w:type="dxa"/>
          </w:tcPr>
          <w:p w14:paraId="4FCD801C" w14:textId="77777777" w:rsidR="006466D7" w:rsidRPr="006466D7" w:rsidRDefault="006466D7" w:rsidP="006466D7">
            <w:pPr>
              <w:spacing w:after="0" w:line="247" w:lineRule="exact"/>
              <w:ind w:left="50"/>
              <w:rPr>
                <w:b/>
                <w:color w:val="auto"/>
                <w:lang w:val="en-US"/>
              </w:rPr>
            </w:pPr>
            <w:r w:rsidRPr="006466D7">
              <w:rPr>
                <w:b/>
                <w:color w:val="auto"/>
                <w:spacing w:val="-5"/>
                <w:sz w:val="22"/>
                <w:lang w:val="en-US"/>
              </w:rPr>
              <w:t>Nicola</w:t>
            </w:r>
            <w:r w:rsidRPr="006466D7">
              <w:rPr>
                <w:b/>
                <w:color w:val="auto"/>
                <w:spacing w:val="-7"/>
                <w:sz w:val="22"/>
                <w:lang w:val="en-US"/>
              </w:rPr>
              <w:t xml:space="preserve"> </w:t>
            </w:r>
            <w:r w:rsidRPr="006466D7">
              <w:rPr>
                <w:b/>
                <w:color w:val="auto"/>
                <w:spacing w:val="-2"/>
                <w:sz w:val="22"/>
                <w:lang w:val="en-US"/>
              </w:rPr>
              <w:t>Parish</w:t>
            </w:r>
          </w:p>
        </w:tc>
        <w:tc>
          <w:tcPr>
            <w:tcW w:w="3103" w:type="dxa"/>
          </w:tcPr>
          <w:p w14:paraId="19B8996D" w14:textId="77777777" w:rsidR="006466D7" w:rsidRPr="006466D7" w:rsidRDefault="006466D7" w:rsidP="006466D7">
            <w:pPr>
              <w:spacing w:after="0" w:line="247" w:lineRule="exact"/>
              <w:ind w:left="567"/>
              <w:rPr>
                <w:b/>
                <w:color w:val="auto"/>
                <w:lang w:val="en-US"/>
              </w:rPr>
            </w:pPr>
            <w:r w:rsidRPr="006466D7">
              <w:rPr>
                <w:b/>
                <w:color w:val="auto"/>
                <w:spacing w:val="-4"/>
                <w:sz w:val="22"/>
                <w:lang w:val="en-US"/>
              </w:rPr>
              <w:t>Sarah</w:t>
            </w:r>
            <w:r w:rsidRPr="006466D7">
              <w:rPr>
                <w:b/>
                <w:color w:val="auto"/>
                <w:spacing w:val="-10"/>
                <w:sz w:val="22"/>
                <w:lang w:val="en-US"/>
              </w:rPr>
              <w:t xml:space="preserve"> </w:t>
            </w:r>
            <w:r w:rsidRPr="006466D7">
              <w:rPr>
                <w:b/>
                <w:color w:val="auto"/>
                <w:spacing w:val="-2"/>
                <w:sz w:val="22"/>
                <w:lang w:val="en-US"/>
              </w:rPr>
              <w:t>Pritchard</w:t>
            </w:r>
          </w:p>
        </w:tc>
        <w:tc>
          <w:tcPr>
            <w:tcW w:w="2720" w:type="dxa"/>
          </w:tcPr>
          <w:p w14:paraId="59E2A99C" w14:textId="77777777" w:rsidR="006466D7" w:rsidRPr="006466D7" w:rsidRDefault="006466D7" w:rsidP="006466D7">
            <w:pPr>
              <w:spacing w:after="0" w:line="247" w:lineRule="exact"/>
              <w:ind w:left="443"/>
              <w:rPr>
                <w:b/>
                <w:color w:val="auto"/>
                <w:lang w:val="en-US"/>
              </w:rPr>
            </w:pPr>
            <w:r w:rsidRPr="006466D7">
              <w:rPr>
                <w:b/>
                <w:color w:val="auto"/>
                <w:spacing w:val="-4"/>
                <w:sz w:val="22"/>
                <w:lang w:val="en-US"/>
              </w:rPr>
              <w:t>Alex</w:t>
            </w:r>
            <w:r w:rsidRPr="006466D7">
              <w:rPr>
                <w:b/>
                <w:color w:val="auto"/>
                <w:spacing w:val="-7"/>
                <w:sz w:val="22"/>
                <w:lang w:val="en-US"/>
              </w:rPr>
              <w:t xml:space="preserve"> </w:t>
            </w:r>
            <w:r w:rsidRPr="006466D7">
              <w:rPr>
                <w:b/>
                <w:color w:val="auto"/>
                <w:spacing w:val="-2"/>
                <w:sz w:val="22"/>
                <w:lang w:val="en-US"/>
              </w:rPr>
              <w:t>Connolly</w:t>
            </w:r>
          </w:p>
        </w:tc>
      </w:tr>
      <w:tr w:rsidR="006466D7" w:rsidRPr="006466D7" w14:paraId="51AC8030" w14:textId="77777777" w:rsidTr="00484550">
        <w:trPr>
          <w:trHeight w:val="228"/>
        </w:trPr>
        <w:tc>
          <w:tcPr>
            <w:tcW w:w="2458" w:type="dxa"/>
          </w:tcPr>
          <w:p w14:paraId="5CFF63F4" w14:textId="77777777" w:rsidR="006466D7" w:rsidRPr="006466D7" w:rsidRDefault="006466D7" w:rsidP="006466D7">
            <w:pPr>
              <w:spacing w:before="21" w:after="0" w:line="187" w:lineRule="exact"/>
              <w:ind w:left="50"/>
              <w:rPr>
                <w:color w:val="auto"/>
                <w:sz w:val="18"/>
                <w:lang w:val="en-US"/>
              </w:rPr>
            </w:pPr>
            <w:r w:rsidRPr="006466D7">
              <w:rPr>
                <w:color w:val="auto"/>
                <w:spacing w:val="-4"/>
                <w:sz w:val="18"/>
                <w:lang w:val="en-US"/>
              </w:rPr>
              <w:t>The</w:t>
            </w:r>
            <w:r w:rsidRPr="006466D7">
              <w:rPr>
                <w:color w:val="auto"/>
                <w:spacing w:val="-9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4"/>
                <w:sz w:val="18"/>
                <w:lang w:val="en-US"/>
              </w:rPr>
              <w:t>Pensions</w:t>
            </w:r>
            <w:r w:rsidRPr="006466D7">
              <w:rPr>
                <w:color w:val="auto"/>
                <w:spacing w:val="-8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4"/>
                <w:sz w:val="18"/>
                <w:lang w:val="en-US"/>
              </w:rPr>
              <w:t>Regulator</w:t>
            </w:r>
          </w:p>
        </w:tc>
        <w:tc>
          <w:tcPr>
            <w:tcW w:w="3103" w:type="dxa"/>
          </w:tcPr>
          <w:p w14:paraId="4CAA6932" w14:textId="77777777" w:rsidR="006466D7" w:rsidRPr="006466D7" w:rsidRDefault="006466D7" w:rsidP="006466D7">
            <w:pPr>
              <w:spacing w:before="21" w:after="0" w:line="187" w:lineRule="exact"/>
              <w:ind w:left="567"/>
              <w:rPr>
                <w:color w:val="auto"/>
                <w:sz w:val="18"/>
                <w:lang w:val="en-US"/>
              </w:rPr>
            </w:pPr>
            <w:r w:rsidRPr="006466D7">
              <w:rPr>
                <w:color w:val="auto"/>
                <w:spacing w:val="-6"/>
                <w:sz w:val="18"/>
                <w:lang w:val="en-US"/>
              </w:rPr>
              <w:t>Financial</w:t>
            </w:r>
            <w:r w:rsidRPr="006466D7">
              <w:rPr>
                <w:color w:val="auto"/>
                <w:spacing w:val="5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6"/>
                <w:sz w:val="18"/>
                <w:lang w:val="en-US"/>
              </w:rPr>
              <w:t>Conduct</w:t>
            </w:r>
            <w:r w:rsidRPr="006466D7">
              <w:rPr>
                <w:color w:val="auto"/>
                <w:spacing w:val="8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6"/>
                <w:sz w:val="18"/>
                <w:lang w:val="en-US"/>
              </w:rPr>
              <w:t>Authority</w:t>
            </w:r>
          </w:p>
        </w:tc>
        <w:tc>
          <w:tcPr>
            <w:tcW w:w="2720" w:type="dxa"/>
          </w:tcPr>
          <w:p w14:paraId="40929009" w14:textId="77777777" w:rsidR="006466D7" w:rsidRPr="006466D7" w:rsidRDefault="006466D7" w:rsidP="006466D7">
            <w:pPr>
              <w:spacing w:before="21" w:after="0" w:line="187" w:lineRule="exact"/>
              <w:ind w:left="443"/>
              <w:rPr>
                <w:color w:val="auto"/>
                <w:sz w:val="18"/>
                <w:lang w:val="en-US"/>
              </w:rPr>
            </w:pPr>
            <w:r w:rsidRPr="006466D7">
              <w:rPr>
                <w:color w:val="auto"/>
                <w:spacing w:val="-4"/>
                <w:sz w:val="18"/>
                <w:lang w:val="en-US"/>
              </w:rPr>
              <w:t>Money</w:t>
            </w:r>
            <w:r w:rsidRPr="006466D7">
              <w:rPr>
                <w:color w:val="auto"/>
                <w:spacing w:val="-9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4"/>
                <w:sz w:val="18"/>
                <w:lang w:val="en-US"/>
              </w:rPr>
              <w:t>and</w:t>
            </w:r>
            <w:r w:rsidRPr="006466D7">
              <w:rPr>
                <w:color w:val="auto"/>
                <w:spacing w:val="-8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4"/>
                <w:sz w:val="18"/>
                <w:lang w:val="en-US"/>
              </w:rPr>
              <w:t>Pensions</w:t>
            </w:r>
            <w:r w:rsidRPr="006466D7">
              <w:rPr>
                <w:color w:val="auto"/>
                <w:spacing w:val="-8"/>
                <w:sz w:val="18"/>
                <w:lang w:val="en-US"/>
              </w:rPr>
              <w:t xml:space="preserve"> </w:t>
            </w:r>
            <w:r w:rsidRPr="006466D7">
              <w:rPr>
                <w:color w:val="auto"/>
                <w:spacing w:val="-4"/>
                <w:sz w:val="18"/>
                <w:lang w:val="en-US"/>
              </w:rPr>
              <w:t>Service</w:t>
            </w:r>
          </w:p>
        </w:tc>
      </w:tr>
    </w:tbl>
    <w:p w14:paraId="2DBC2FFB" w14:textId="77777777" w:rsidR="006466D7" w:rsidRDefault="006466D7">
      <w:pPr>
        <w:pStyle w:val="BodyText"/>
        <w:spacing w:before="9"/>
        <w:ind w:left="0"/>
        <w:rPr>
          <w:sz w:val="29"/>
        </w:rPr>
      </w:pPr>
    </w:p>
    <w:p w14:paraId="32C809D2" w14:textId="77777777" w:rsidR="006466D7" w:rsidRDefault="006466D7">
      <w:pPr>
        <w:pStyle w:val="BodyText"/>
        <w:spacing w:before="9"/>
        <w:ind w:left="0"/>
        <w:rPr>
          <w:sz w:val="29"/>
        </w:rPr>
      </w:pPr>
    </w:p>
    <w:p w14:paraId="7922BB6D" w14:textId="3B1BF447" w:rsidR="00393DBB" w:rsidRDefault="00393DBB">
      <w:pPr>
        <w:pStyle w:val="BodyText"/>
        <w:spacing w:before="9"/>
        <w:ind w:left="0"/>
        <w:rPr>
          <w:sz w:val="29"/>
        </w:rPr>
      </w:pPr>
    </w:p>
    <w:sectPr w:rsidR="00393DBB"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1647" w14:textId="77777777" w:rsidR="0019631A" w:rsidRDefault="0019631A" w:rsidP="00A06F12">
      <w:pPr>
        <w:spacing w:after="0" w:line="240" w:lineRule="auto"/>
      </w:pPr>
      <w:r>
        <w:separator/>
      </w:r>
    </w:p>
  </w:endnote>
  <w:endnote w:type="continuationSeparator" w:id="0">
    <w:p w14:paraId="357A4840" w14:textId="77777777" w:rsidR="0019631A" w:rsidRDefault="0019631A" w:rsidP="00A0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8230" w14:textId="389192BA" w:rsidR="00A06F12" w:rsidRDefault="00A06F12">
    <w:pPr>
      <w:pStyle w:val="Footer"/>
    </w:pPr>
    <w:r>
      <w:t xml:space="preserve">Version </w:t>
    </w:r>
    <w:r w:rsidR="00331518">
      <w:t>3</w:t>
    </w:r>
    <w:r>
      <w:t xml:space="preserve"> – </w:t>
    </w:r>
    <w:r w:rsidR="00331518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CD33" w14:textId="77777777" w:rsidR="0019631A" w:rsidRDefault="0019631A" w:rsidP="00A06F12">
      <w:pPr>
        <w:spacing w:after="0" w:line="240" w:lineRule="auto"/>
      </w:pPr>
      <w:r>
        <w:separator/>
      </w:r>
    </w:p>
  </w:footnote>
  <w:footnote w:type="continuationSeparator" w:id="0">
    <w:p w14:paraId="499FD381" w14:textId="77777777" w:rsidR="0019631A" w:rsidRDefault="0019631A" w:rsidP="00A0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BB"/>
    <w:rsid w:val="0019631A"/>
    <w:rsid w:val="00331518"/>
    <w:rsid w:val="00393DBB"/>
    <w:rsid w:val="006466D7"/>
    <w:rsid w:val="00694887"/>
    <w:rsid w:val="008D51BB"/>
    <w:rsid w:val="009911C5"/>
    <w:rsid w:val="00A06F12"/>
    <w:rsid w:val="00B53A92"/>
    <w:rsid w:val="00B8209E"/>
    <w:rsid w:val="00BF419A"/>
    <w:rsid w:val="00E83636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2A21"/>
  <w15:docId w15:val="{D30F1ED0-A24D-4D50-AE7E-0B7874D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9E"/>
    <w:pPr>
      <w:spacing w:after="240" w:line="300" w:lineRule="auto"/>
    </w:pPr>
    <w:rPr>
      <w:rFonts w:ascii="Arial" w:eastAsia="Arial" w:hAnsi="Arial" w:cs="Arial"/>
      <w:color w:val="0D0D0D" w:themeColor="text1" w:themeTint="F2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09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2"/>
    </w:rPr>
  </w:style>
  <w:style w:type="paragraph" w:styleId="Title">
    <w:name w:val="Title"/>
    <w:basedOn w:val="Normal"/>
    <w:uiPriority w:val="10"/>
    <w:qFormat/>
    <w:pPr>
      <w:spacing w:before="200"/>
      <w:ind w:left="100" w:right="189"/>
    </w:pPr>
    <w:rPr>
      <w:b/>
      <w:bCs/>
      <w:sz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8209E"/>
    <w:rPr>
      <w:rFonts w:ascii="Arial" w:eastAsiaTheme="majorEastAsia" w:hAnsi="Arial" w:cstheme="majorBidi"/>
      <w:b/>
      <w:color w:val="0D0D0D" w:themeColor="text1" w:themeTint="F2"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12"/>
    <w:rPr>
      <w:rFonts w:ascii="Arial" w:eastAsia="Arial" w:hAnsi="Arial" w:cs="Arial"/>
      <w:color w:val="0D0D0D" w:themeColor="text1" w:themeTint="F2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12"/>
    <w:rPr>
      <w:rFonts w:ascii="Arial" w:eastAsia="Arial" w:hAnsi="Arial" w:cs="Arial"/>
      <w:color w:val="0D0D0D" w:themeColor="text1" w:themeTint="F2"/>
      <w:sz w:val="24"/>
      <w:lang w:val="en-GB"/>
    </w:rPr>
  </w:style>
  <w:style w:type="paragraph" w:styleId="Revision">
    <w:name w:val="Revision"/>
    <w:hidden/>
    <w:uiPriority w:val="99"/>
    <w:semiHidden/>
    <w:rsid w:val="00B53A92"/>
    <w:pPr>
      <w:widowControl/>
      <w:autoSpaceDE/>
      <w:autoSpaceDN/>
    </w:pPr>
    <w:rPr>
      <w:rFonts w:ascii="Arial" w:eastAsia="Arial" w:hAnsi="Arial" w:cs="Arial"/>
      <w:color w:val="0D0D0D" w:themeColor="text1" w:themeTint="F2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51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ca.org.uk?consumers/pension-transfer-defined-benef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fca.org.uk/scamsmar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CDA00-8A29-4FDA-9675-0A60BB2004BE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customXml/itemProps2.xml><?xml version="1.0" encoding="utf-8"?>
<ds:datastoreItem xmlns:ds="http://schemas.openxmlformats.org/officeDocument/2006/customXml" ds:itemID="{BFD0DF87-502A-442A-B793-303B8872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CD5DD-F26E-4F87-AF27-430A8FB2A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2 May 2022</dc:title>
  <dc:creator>Coyne, Patrick</dc:creator>
  <cp:lastModifiedBy>Jayne Wiberg</cp:lastModifiedBy>
  <cp:revision>7</cp:revision>
  <dcterms:created xsi:type="dcterms:W3CDTF">2025-03-05T14:11:00Z</dcterms:created>
  <dcterms:modified xsi:type="dcterms:W3CDTF">2025-03-05T14:15:00Z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  <property fmtid="{D5CDD505-2E9C-101B-9397-08002B2CF9AE}" pid="5" name="ContentTypeId">
    <vt:lpwstr>0x010100197975E344276F4A8689D4A7054B0E58</vt:lpwstr>
  </property>
  <property fmtid="{D5CDD505-2E9C-101B-9397-08002B2CF9AE}" pid="6" name="MediaServiceImageTags">
    <vt:lpwstr/>
  </property>
</Properties>
</file>