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A26F" w14:textId="5487D459" w:rsidR="00911500" w:rsidRDefault="00911500" w:rsidP="00911500">
      <w:pPr>
        <w:pStyle w:val="Heading1"/>
        <w:ind w:left="4678" w:right="237" w:firstLine="567"/>
      </w:pPr>
      <w:bookmarkStart w:id="0" w:name="_Toc177655875"/>
      <w:bookmarkStart w:id="1" w:name="_Toc195693895"/>
      <w:bookmarkStart w:id="2" w:name="_Toc195783199"/>
      <w:bookmarkStart w:id="3" w:name="_Toc196385828"/>
      <w:bookmarkStart w:id="4" w:name="_Toc197072068"/>
      <w:bookmarkStart w:id="5" w:name="_Toc197699028"/>
      <w:bookmarkStart w:id="6" w:name="_Toc197699101"/>
      <w:bookmarkStart w:id="7" w:name="_Toc62206322"/>
      <w:r>
        <w:rPr>
          <w:noProof/>
        </w:rPr>
        <w:drawing>
          <wp:inline distT="0" distB="0" distL="0" distR="0" wp14:anchorId="79EA3FDB" wp14:editId="1BD91A3E">
            <wp:extent cx="2880109" cy="987552"/>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7540" cy="993529"/>
                    </a:xfrm>
                    <a:prstGeom prst="rect">
                      <a:avLst/>
                    </a:prstGeom>
                    <a:noFill/>
                  </pic:spPr>
                </pic:pic>
              </a:graphicData>
            </a:graphic>
          </wp:inline>
        </w:drawing>
      </w:r>
      <w:bookmarkEnd w:id="0"/>
      <w:bookmarkEnd w:id="1"/>
      <w:bookmarkEnd w:id="2"/>
      <w:bookmarkEnd w:id="3"/>
      <w:bookmarkEnd w:id="4"/>
      <w:bookmarkEnd w:id="5"/>
      <w:bookmarkEnd w:id="6"/>
    </w:p>
    <w:p w14:paraId="7A517C73" w14:textId="5BAE0BB7" w:rsidR="00B90AA2" w:rsidRPr="005B5BD0" w:rsidRDefault="0057495B" w:rsidP="003D72D6">
      <w:pPr>
        <w:pStyle w:val="Heading1"/>
      </w:pPr>
      <w:bookmarkStart w:id="8" w:name="_Toc177655876"/>
      <w:bookmarkStart w:id="9" w:name="_Toc177711894"/>
      <w:bookmarkStart w:id="10" w:name="_Toc195693729"/>
      <w:bookmarkStart w:id="11" w:name="_Toc195693896"/>
      <w:bookmarkStart w:id="12" w:name="_Toc195783200"/>
      <w:bookmarkStart w:id="13" w:name="_Toc197699029"/>
      <w:bookmarkStart w:id="14" w:name="_Toc197699102"/>
      <w:r>
        <w:t>List of administering authority discretions</w:t>
      </w:r>
      <w:bookmarkEnd w:id="8"/>
      <w:bookmarkEnd w:id="9"/>
      <w:bookmarkEnd w:id="10"/>
      <w:bookmarkEnd w:id="11"/>
      <w:bookmarkEnd w:id="12"/>
      <w:bookmarkEnd w:id="13"/>
      <w:bookmarkEnd w:id="14"/>
    </w:p>
    <w:bookmarkEnd w:id="7" w:displacedByCustomXml="next"/>
    <w:sdt>
      <w:sdtPr>
        <w:rPr>
          <w:b w:val="0"/>
          <w:color w:val="auto"/>
        </w:rPr>
        <w:id w:val="-1946147009"/>
        <w:docPartObj>
          <w:docPartGallery w:val="Table of Contents"/>
          <w:docPartUnique/>
        </w:docPartObj>
      </w:sdtPr>
      <w:sdtEndPr>
        <w:rPr>
          <w:bCs/>
          <w:noProof/>
          <w:color w:val="0D0D0D" w:themeColor="text1" w:themeTint="F2"/>
        </w:rPr>
      </w:sdtEndPr>
      <w:sdtContent>
        <w:p w14:paraId="1B646ED8" w14:textId="534E047D" w:rsidR="00A85764" w:rsidRDefault="00C053F9" w:rsidP="00A85764">
          <w:pPr>
            <w:pStyle w:val="TOC1"/>
            <w:tabs>
              <w:tab w:val="right" w:leader="dot" w:pos="9016"/>
            </w:tabs>
            <w:rPr>
              <w:rFonts w:asciiTheme="minorHAnsi" w:eastAsiaTheme="minorEastAsia" w:hAnsiTheme="minorHAnsi"/>
              <w:b w:val="0"/>
              <w:noProof/>
              <w:color w:val="auto"/>
              <w:kern w:val="2"/>
              <w:szCs w:val="24"/>
              <w:lang w:eastAsia="en-GB"/>
              <w14:ligatures w14:val="standardContextual"/>
            </w:rPr>
          </w:pPr>
          <w:r>
            <w:rPr>
              <w:rFonts w:asciiTheme="majorHAnsi" w:eastAsiaTheme="majorEastAsia" w:hAnsiTheme="majorHAnsi" w:cstheme="majorBidi"/>
              <w:b w:val="0"/>
              <w:color w:val="2F5496" w:themeColor="accent1" w:themeShade="BF"/>
              <w:sz w:val="32"/>
              <w:szCs w:val="32"/>
              <w:lang w:val="en-US"/>
            </w:rPr>
            <w:fldChar w:fldCharType="begin"/>
          </w:r>
          <w:r>
            <w:rPr>
              <w:rFonts w:asciiTheme="majorHAnsi" w:eastAsiaTheme="majorEastAsia" w:hAnsiTheme="majorHAnsi" w:cstheme="majorBidi"/>
              <w:b w:val="0"/>
              <w:color w:val="2F5496" w:themeColor="accent1" w:themeShade="BF"/>
              <w:sz w:val="32"/>
              <w:szCs w:val="32"/>
              <w:lang w:val="en-US"/>
            </w:rPr>
            <w:instrText xml:space="preserve"> TOC \o "1-2" \h \z \u </w:instrText>
          </w:r>
          <w:r>
            <w:rPr>
              <w:rFonts w:asciiTheme="majorHAnsi" w:eastAsiaTheme="majorEastAsia" w:hAnsiTheme="majorHAnsi" w:cstheme="majorBidi"/>
              <w:b w:val="0"/>
              <w:color w:val="2F5496" w:themeColor="accent1" w:themeShade="BF"/>
              <w:sz w:val="32"/>
              <w:szCs w:val="32"/>
              <w:lang w:val="en-US"/>
            </w:rPr>
            <w:fldChar w:fldCharType="separate"/>
          </w:r>
        </w:p>
        <w:p w14:paraId="76FD1B93" w14:textId="29961C6B" w:rsidR="00A85764" w:rsidRDefault="00A85764">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99103" w:history="1">
            <w:r w:rsidRPr="00563344">
              <w:rPr>
                <w:rStyle w:val="Hyperlink"/>
                <w:noProof/>
              </w:rPr>
              <w:t>1.</w:t>
            </w:r>
            <w:r>
              <w:rPr>
                <w:rFonts w:asciiTheme="minorHAnsi" w:eastAsiaTheme="minorEastAsia" w:hAnsiTheme="minorHAnsi"/>
                <w:b w:val="0"/>
                <w:noProof/>
                <w:color w:val="auto"/>
                <w:kern w:val="2"/>
                <w:sz w:val="24"/>
                <w:szCs w:val="24"/>
                <w:lang w:eastAsia="en-GB"/>
                <w14:ligatures w14:val="standardContextual"/>
              </w:rPr>
              <w:tab/>
            </w:r>
            <w:r w:rsidRPr="00563344">
              <w:rPr>
                <w:rStyle w:val="Hyperlink"/>
                <w:noProof/>
              </w:rPr>
              <w:t>Introduction</w:t>
            </w:r>
            <w:r>
              <w:rPr>
                <w:noProof/>
                <w:webHidden/>
              </w:rPr>
              <w:tab/>
            </w:r>
            <w:r>
              <w:rPr>
                <w:noProof/>
                <w:webHidden/>
              </w:rPr>
              <w:fldChar w:fldCharType="begin"/>
            </w:r>
            <w:r>
              <w:rPr>
                <w:noProof/>
                <w:webHidden/>
              </w:rPr>
              <w:instrText xml:space="preserve"> PAGEREF _Toc197699103 \h </w:instrText>
            </w:r>
            <w:r>
              <w:rPr>
                <w:noProof/>
                <w:webHidden/>
              </w:rPr>
            </w:r>
            <w:r>
              <w:rPr>
                <w:noProof/>
                <w:webHidden/>
              </w:rPr>
              <w:fldChar w:fldCharType="separate"/>
            </w:r>
            <w:r w:rsidR="0030409E">
              <w:rPr>
                <w:noProof/>
                <w:webHidden/>
              </w:rPr>
              <w:t>2</w:t>
            </w:r>
            <w:r>
              <w:rPr>
                <w:noProof/>
                <w:webHidden/>
              </w:rPr>
              <w:fldChar w:fldCharType="end"/>
            </w:r>
          </w:hyperlink>
        </w:p>
        <w:p w14:paraId="6717BEB3" w14:textId="582888CD" w:rsidR="00A85764" w:rsidRDefault="00A85764">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99104" w:history="1">
            <w:r w:rsidRPr="00563344">
              <w:rPr>
                <w:rStyle w:val="Hyperlink"/>
                <w:noProof/>
              </w:rPr>
              <w:t>2.</w:t>
            </w:r>
            <w:r>
              <w:rPr>
                <w:rFonts w:asciiTheme="minorHAnsi" w:eastAsiaTheme="minorEastAsia" w:hAnsiTheme="minorHAnsi"/>
                <w:b w:val="0"/>
                <w:noProof/>
                <w:color w:val="auto"/>
                <w:kern w:val="2"/>
                <w:sz w:val="24"/>
                <w:szCs w:val="24"/>
                <w:lang w:eastAsia="en-GB"/>
                <w14:ligatures w14:val="standardContextual"/>
              </w:rPr>
              <w:tab/>
            </w:r>
            <w:r w:rsidRPr="00563344">
              <w:rPr>
                <w:rStyle w:val="Hyperlink"/>
                <w:noProof/>
              </w:rPr>
              <w:t>How to use the guide</w:t>
            </w:r>
            <w:r>
              <w:rPr>
                <w:noProof/>
                <w:webHidden/>
              </w:rPr>
              <w:tab/>
            </w:r>
            <w:r>
              <w:rPr>
                <w:noProof/>
                <w:webHidden/>
              </w:rPr>
              <w:fldChar w:fldCharType="begin"/>
            </w:r>
            <w:r>
              <w:rPr>
                <w:noProof/>
                <w:webHidden/>
              </w:rPr>
              <w:instrText xml:space="preserve"> PAGEREF _Toc197699104 \h </w:instrText>
            </w:r>
            <w:r>
              <w:rPr>
                <w:noProof/>
                <w:webHidden/>
              </w:rPr>
            </w:r>
            <w:r>
              <w:rPr>
                <w:noProof/>
                <w:webHidden/>
              </w:rPr>
              <w:fldChar w:fldCharType="separate"/>
            </w:r>
            <w:r w:rsidR="0030409E">
              <w:rPr>
                <w:noProof/>
                <w:webHidden/>
              </w:rPr>
              <w:t>2</w:t>
            </w:r>
            <w:r>
              <w:rPr>
                <w:noProof/>
                <w:webHidden/>
              </w:rPr>
              <w:fldChar w:fldCharType="end"/>
            </w:r>
          </w:hyperlink>
        </w:p>
        <w:p w14:paraId="14FBD33D" w14:textId="3C833115" w:rsidR="00A85764" w:rsidRDefault="00A85764">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99105" w:history="1">
            <w:r w:rsidRPr="00563344">
              <w:rPr>
                <w:rStyle w:val="Hyperlink"/>
                <w:noProof/>
              </w:rPr>
              <w:t>3.</w:t>
            </w:r>
            <w:r>
              <w:rPr>
                <w:rFonts w:asciiTheme="minorHAnsi" w:eastAsiaTheme="minorEastAsia" w:hAnsiTheme="minorHAnsi"/>
                <w:b w:val="0"/>
                <w:noProof/>
                <w:color w:val="auto"/>
                <w:kern w:val="2"/>
                <w:sz w:val="24"/>
                <w:szCs w:val="24"/>
                <w:lang w:eastAsia="en-GB"/>
                <w14:ligatures w14:val="standardContextual"/>
              </w:rPr>
              <w:tab/>
            </w:r>
            <w:r w:rsidRPr="00563344">
              <w:rPr>
                <w:rStyle w:val="Hyperlink"/>
                <w:noProof/>
              </w:rPr>
              <w:t>Quick look-up reference guide to discretions</w:t>
            </w:r>
            <w:r>
              <w:rPr>
                <w:noProof/>
                <w:webHidden/>
              </w:rPr>
              <w:tab/>
            </w:r>
            <w:r>
              <w:rPr>
                <w:noProof/>
                <w:webHidden/>
              </w:rPr>
              <w:fldChar w:fldCharType="begin"/>
            </w:r>
            <w:r>
              <w:rPr>
                <w:noProof/>
                <w:webHidden/>
              </w:rPr>
              <w:instrText xml:space="preserve"> PAGEREF _Toc197699105 \h </w:instrText>
            </w:r>
            <w:r>
              <w:rPr>
                <w:noProof/>
                <w:webHidden/>
              </w:rPr>
            </w:r>
            <w:r>
              <w:rPr>
                <w:noProof/>
                <w:webHidden/>
              </w:rPr>
              <w:fldChar w:fldCharType="separate"/>
            </w:r>
            <w:r w:rsidR="0030409E">
              <w:rPr>
                <w:noProof/>
                <w:webHidden/>
              </w:rPr>
              <w:t>4</w:t>
            </w:r>
            <w:r>
              <w:rPr>
                <w:noProof/>
                <w:webHidden/>
              </w:rPr>
              <w:fldChar w:fldCharType="end"/>
            </w:r>
          </w:hyperlink>
        </w:p>
        <w:p w14:paraId="1BE38874" w14:textId="5FA44AE7" w:rsidR="00A85764" w:rsidRDefault="00A85764">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99106" w:history="1">
            <w:r w:rsidRPr="00563344">
              <w:rPr>
                <w:rStyle w:val="Hyperlink"/>
                <w:noProof/>
              </w:rPr>
              <w:t>4.</w:t>
            </w:r>
            <w:r>
              <w:rPr>
                <w:rFonts w:asciiTheme="minorHAnsi" w:eastAsiaTheme="minorEastAsia" w:hAnsiTheme="minorHAnsi"/>
                <w:b w:val="0"/>
                <w:noProof/>
                <w:color w:val="auto"/>
                <w:kern w:val="2"/>
                <w:sz w:val="24"/>
                <w:szCs w:val="24"/>
                <w:lang w:eastAsia="en-GB"/>
                <w14:ligatures w14:val="standardContextual"/>
              </w:rPr>
              <w:tab/>
            </w:r>
            <w:r w:rsidRPr="00563344">
              <w:rPr>
                <w:rStyle w:val="Hyperlink"/>
                <w:noProof/>
              </w:rPr>
              <w:t>Administering authority discretions</w:t>
            </w:r>
            <w:r>
              <w:rPr>
                <w:noProof/>
                <w:webHidden/>
              </w:rPr>
              <w:tab/>
            </w:r>
            <w:r>
              <w:rPr>
                <w:noProof/>
                <w:webHidden/>
              </w:rPr>
              <w:fldChar w:fldCharType="begin"/>
            </w:r>
            <w:r>
              <w:rPr>
                <w:noProof/>
                <w:webHidden/>
              </w:rPr>
              <w:instrText xml:space="preserve"> PAGEREF _Toc197699106 \h </w:instrText>
            </w:r>
            <w:r>
              <w:rPr>
                <w:noProof/>
                <w:webHidden/>
              </w:rPr>
            </w:r>
            <w:r>
              <w:rPr>
                <w:noProof/>
                <w:webHidden/>
              </w:rPr>
              <w:fldChar w:fldCharType="separate"/>
            </w:r>
            <w:r w:rsidR="0030409E">
              <w:rPr>
                <w:noProof/>
                <w:webHidden/>
              </w:rPr>
              <w:t>9</w:t>
            </w:r>
            <w:r>
              <w:rPr>
                <w:noProof/>
                <w:webHidden/>
              </w:rPr>
              <w:fldChar w:fldCharType="end"/>
            </w:r>
          </w:hyperlink>
        </w:p>
        <w:p w14:paraId="02F693F3" w14:textId="38BB4517" w:rsidR="00A85764" w:rsidRDefault="00A85764">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99107" w:history="1">
            <w:r w:rsidRPr="00563344">
              <w:rPr>
                <w:rStyle w:val="Hyperlink"/>
                <w:noProof/>
              </w:rPr>
              <w:t>5.</w:t>
            </w:r>
            <w:r>
              <w:rPr>
                <w:rFonts w:asciiTheme="minorHAnsi" w:eastAsiaTheme="minorEastAsia" w:hAnsiTheme="minorHAnsi"/>
                <w:b w:val="0"/>
                <w:noProof/>
                <w:color w:val="auto"/>
                <w:kern w:val="2"/>
                <w:sz w:val="24"/>
                <w:szCs w:val="24"/>
                <w:lang w:eastAsia="en-GB"/>
                <w14:ligatures w14:val="standardContextual"/>
              </w:rPr>
              <w:tab/>
            </w:r>
            <w:r w:rsidRPr="00563344">
              <w:rPr>
                <w:rStyle w:val="Hyperlink"/>
                <w:noProof/>
              </w:rPr>
              <w:t>Information on formulating and publishing discretions</w:t>
            </w:r>
            <w:r>
              <w:rPr>
                <w:noProof/>
                <w:webHidden/>
              </w:rPr>
              <w:tab/>
            </w:r>
            <w:r>
              <w:rPr>
                <w:noProof/>
                <w:webHidden/>
              </w:rPr>
              <w:fldChar w:fldCharType="begin"/>
            </w:r>
            <w:r>
              <w:rPr>
                <w:noProof/>
                <w:webHidden/>
              </w:rPr>
              <w:instrText xml:space="preserve"> PAGEREF _Toc197699107 \h </w:instrText>
            </w:r>
            <w:r>
              <w:rPr>
                <w:noProof/>
                <w:webHidden/>
              </w:rPr>
            </w:r>
            <w:r>
              <w:rPr>
                <w:noProof/>
                <w:webHidden/>
              </w:rPr>
              <w:fldChar w:fldCharType="separate"/>
            </w:r>
            <w:r w:rsidR="0030409E">
              <w:rPr>
                <w:noProof/>
                <w:webHidden/>
              </w:rPr>
              <w:t>62</w:t>
            </w:r>
            <w:r>
              <w:rPr>
                <w:noProof/>
                <w:webHidden/>
              </w:rPr>
              <w:fldChar w:fldCharType="end"/>
            </w:r>
          </w:hyperlink>
        </w:p>
        <w:p w14:paraId="48968188" w14:textId="1E581717" w:rsidR="00A85764" w:rsidRDefault="00A85764">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99108" w:history="1">
            <w:r w:rsidRPr="00563344">
              <w:rPr>
                <w:rStyle w:val="Hyperlink"/>
                <w:noProof/>
              </w:rPr>
              <w:t>6.</w:t>
            </w:r>
            <w:r>
              <w:rPr>
                <w:rFonts w:asciiTheme="minorHAnsi" w:eastAsiaTheme="minorEastAsia" w:hAnsiTheme="minorHAnsi"/>
                <w:b w:val="0"/>
                <w:noProof/>
                <w:color w:val="auto"/>
                <w:kern w:val="2"/>
                <w:sz w:val="24"/>
                <w:szCs w:val="24"/>
                <w:lang w:eastAsia="en-GB"/>
                <w14:ligatures w14:val="standardContextual"/>
              </w:rPr>
              <w:tab/>
            </w:r>
            <w:r w:rsidRPr="00563344">
              <w:rPr>
                <w:rStyle w:val="Hyperlink"/>
                <w:noProof/>
              </w:rPr>
              <w:t>Copyright</w:t>
            </w:r>
            <w:r>
              <w:rPr>
                <w:noProof/>
                <w:webHidden/>
              </w:rPr>
              <w:tab/>
            </w:r>
            <w:r>
              <w:rPr>
                <w:noProof/>
                <w:webHidden/>
              </w:rPr>
              <w:fldChar w:fldCharType="begin"/>
            </w:r>
            <w:r>
              <w:rPr>
                <w:noProof/>
                <w:webHidden/>
              </w:rPr>
              <w:instrText xml:space="preserve"> PAGEREF _Toc197699108 \h </w:instrText>
            </w:r>
            <w:r>
              <w:rPr>
                <w:noProof/>
                <w:webHidden/>
              </w:rPr>
            </w:r>
            <w:r>
              <w:rPr>
                <w:noProof/>
                <w:webHidden/>
              </w:rPr>
              <w:fldChar w:fldCharType="separate"/>
            </w:r>
            <w:r w:rsidR="0030409E">
              <w:rPr>
                <w:noProof/>
                <w:webHidden/>
              </w:rPr>
              <w:t>66</w:t>
            </w:r>
            <w:r>
              <w:rPr>
                <w:noProof/>
                <w:webHidden/>
              </w:rPr>
              <w:fldChar w:fldCharType="end"/>
            </w:r>
          </w:hyperlink>
        </w:p>
        <w:p w14:paraId="50F41759" w14:textId="7FD2A2F7" w:rsidR="00A85764" w:rsidRDefault="00A85764">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99109" w:history="1">
            <w:r w:rsidRPr="00563344">
              <w:rPr>
                <w:rStyle w:val="Hyperlink"/>
                <w:noProof/>
              </w:rPr>
              <w:t>7.</w:t>
            </w:r>
            <w:r>
              <w:rPr>
                <w:rFonts w:asciiTheme="minorHAnsi" w:eastAsiaTheme="minorEastAsia" w:hAnsiTheme="minorHAnsi"/>
                <w:b w:val="0"/>
                <w:noProof/>
                <w:color w:val="auto"/>
                <w:kern w:val="2"/>
                <w:sz w:val="24"/>
                <w:szCs w:val="24"/>
                <w:lang w:eastAsia="en-GB"/>
                <w14:ligatures w14:val="standardContextual"/>
              </w:rPr>
              <w:tab/>
            </w:r>
            <w:r w:rsidRPr="00563344">
              <w:rPr>
                <w:rStyle w:val="Hyperlink"/>
                <w:noProof/>
              </w:rPr>
              <w:t>Disclaimer</w:t>
            </w:r>
            <w:r>
              <w:rPr>
                <w:noProof/>
                <w:webHidden/>
              </w:rPr>
              <w:tab/>
            </w:r>
            <w:r>
              <w:rPr>
                <w:noProof/>
                <w:webHidden/>
              </w:rPr>
              <w:fldChar w:fldCharType="begin"/>
            </w:r>
            <w:r>
              <w:rPr>
                <w:noProof/>
                <w:webHidden/>
              </w:rPr>
              <w:instrText xml:space="preserve"> PAGEREF _Toc197699109 \h </w:instrText>
            </w:r>
            <w:r>
              <w:rPr>
                <w:noProof/>
                <w:webHidden/>
              </w:rPr>
            </w:r>
            <w:r>
              <w:rPr>
                <w:noProof/>
                <w:webHidden/>
              </w:rPr>
              <w:fldChar w:fldCharType="separate"/>
            </w:r>
            <w:r w:rsidR="0030409E">
              <w:rPr>
                <w:noProof/>
                <w:webHidden/>
              </w:rPr>
              <w:t>66</w:t>
            </w:r>
            <w:r>
              <w:rPr>
                <w:noProof/>
                <w:webHidden/>
              </w:rPr>
              <w:fldChar w:fldCharType="end"/>
            </w:r>
          </w:hyperlink>
        </w:p>
        <w:p w14:paraId="1687B48A" w14:textId="3F30931D" w:rsidR="00C053F9" w:rsidRDefault="00C053F9" w:rsidP="00C053F9">
          <w:pPr>
            <w:pStyle w:val="TOC1"/>
            <w:tabs>
              <w:tab w:val="right" w:leader="dot" w:pos="9016"/>
            </w:tabs>
            <w:rPr>
              <w:b w:val="0"/>
              <w:bCs/>
              <w:noProof/>
            </w:rPr>
          </w:pPr>
          <w:r>
            <w:rPr>
              <w:rFonts w:asciiTheme="majorHAnsi" w:eastAsiaTheme="majorEastAsia" w:hAnsiTheme="majorHAnsi" w:cstheme="majorBidi"/>
              <w:b w:val="0"/>
              <w:color w:val="2F5496" w:themeColor="accent1" w:themeShade="BF"/>
              <w:sz w:val="32"/>
              <w:szCs w:val="32"/>
              <w:lang w:val="en-US"/>
            </w:rPr>
            <w:fldChar w:fldCharType="end"/>
          </w:r>
        </w:p>
      </w:sdtContent>
    </w:sdt>
    <w:p w14:paraId="0C3813EF" w14:textId="73FF542A" w:rsidR="0000228B" w:rsidRDefault="0000228B" w:rsidP="006E16E9">
      <w:pPr>
        <w:pStyle w:val="Heading1"/>
        <w:sectPr w:rsidR="0000228B" w:rsidSect="00911500">
          <w:footerReference w:type="default" r:id="rId12"/>
          <w:pgSz w:w="11906" w:h="16838"/>
          <w:pgMar w:top="709" w:right="1440" w:bottom="1440" w:left="1440" w:header="708" w:footer="708" w:gutter="0"/>
          <w:cols w:space="708"/>
          <w:docGrid w:linePitch="360"/>
        </w:sectPr>
      </w:pPr>
    </w:p>
    <w:p w14:paraId="0F5A8B08" w14:textId="28FEFEFD" w:rsidR="00DA24E6" w:rsidRPr="00A85764" w:rsidRDefault="001965B1" w:rsidP="00A85764">
      <w:pPr>
        <w:pStyle w:val="Heading2"/>
      </w:pPr>
      <w:bookmarkStart w:id="15" w:name="_Toc177655816"/>
      <w:bookmarkStart w:id="16" w:name="_Toc197699103"/>
      <w:r w:rsidRPr="00A85764">
        <w:lastRenderedPageBreak/>
        <w:t>Introduction</w:t>
      </w:r>
      <w:bookmarkEnd w:id="15"/>
      <w:bookmarkEnd w:id="16"/>
    </w:p>
    <w:p w14:paraId="583DBDF6" w14:textId="14FEA619" w:rsidR="00BA5B1F" w:rsidRDefault="00212A75" w:rsidP="00727715">
      <w:r>
        <w:t xml:space="preserve">The guide </w:t>
      </w:r>
      <w:r w:rsidR="00057E11">
        <w:t xml:space="preserve">is </w:t>
      </w:r>
      <w:r w:rsidR="0010511C">
        <w:t>for</w:t>
      </w:r>
      <w:r>
        <w:t xml:space="preserve"> administering authorities in Scotland</w:t>
      </w:r>
      <w:r w:rsidR="00CD220B">
        <w:t>.</w:t>
      </w:r>
    </w:p>
    <w:p w14:paraId="6DCA7733" w14:textId="0B3D2705" w:rsidR="0084640F" w:rsidRDefault="005D5708" w:rsidP="00727715">
      <w:r>
        <w:t>It</w:t>
      </w:r>
      <w:r w:rsidR="0084640F">
        <w:t xml:space="preserve"> sets out a list of discretion</w:t>
      </w:r>
      <w:r>
        <w:t>s</w:t>
      </w:r>
      <w:r w:rsidR="00FA79B7">
        <w:t xml:space="preserve"> </w:t>
      </w:r>
      <w:r w:rsidR="0097042E">
        <w:t>under the L</w:t>
      </w:r>
      <w:r w:rsidR="00EC6B12">
        <w:t>ocal Government Pension Scheme (</w:t>
      </w:r>
      <w:r w:rsidR="00AF1B4E">
        <w:t>LGPS</w:t>
      </w:r>
      <w:r w:rsidR="00EC6B12">
        <w:t>)</w:t>
      </w:r>
      <w:r w:rsidR="008D5C07">
        <w:t xml:space="preserve"> (Scotland)</w:t>
      </w:r>
      <w:r w:rsidR="0097042E">
        <w:t xml:space="preserve"> Regulations and the Local Government (Discretionary Payments and Injury Benefits) (Scotland) Regulations 1998.</w:t>
      </w:r>
    </w:p>
    <w:p w14:paraId="6B5235E2" w14:textId="10DC5C8D" w:rsidR="00212A75" w:rsidRPr="00A85764" w:rsidRDefault="00212A75" w:rsidP="00A85764">
      <w:pPr>
        <w:pStyle w:val="Heading2"/>
      </w:pPr>
      <w:bookmarkStart w:id="17" w:name="_How_to_use"/>
      <w:bookmarkStart w:id="18" w:name="_Toc177655817"/>
      <w:bookmarkStart w:id="19" w:name="_Toc197699104"/>
      <w:bookmarkEnd w:id="17"/>
      <w:r w:rsidRPr="00A85764">
        <w:t>How to use the guide</w:t>
      </w:r>
      <w:bookmarkEnd w:id="18"/>
      <w:bookmarkEnd w:id="19"/>
    </w:p>
    <w:p w14:paraId="6E8BB789" w14:textId="7EF9ACD7" w:rsidR="00911583" w:rsidRDefault="0097042E" w:rsidP="00443206">
      <w:r>
        <w:t xml:space="preserve">The </w:t>
      </w:r>
      <w:r w:rsidR="00911583">
        <w:t xml:space="preserve">guide lists the discretions in </w:t>
      </w:r>
      <w:hyperlink w:anchor="_Overview_of_scenarios" w:history="1">
        <w:r w:rsidR="009824FC">
          <w:rPr>
            <w:rStyle w:val="Hyperlink"/>
          </w:rPr>
          <w:t>section four</w:t>
        </w:r>
      </w:hyperlink>
      <w:r w:rsidR="00911583">
        <w:t>.</w:t>
      </w:r>
      <w:r w:rsidR="002959F3">
        <w:t xml:space="preserve"> </w:t>
      </w:r>
      <w:r w:rsidR="00911583">
        <w:t>The discretions are grouped by topic</w:t>
      </w:r>
      <w:r w:rsidR="00B54683">
        <w:t>, s</w:t>
      </w:r>
      <w:r w:rsidR="00911583">
        <w:t>uch as retirement</w:t>
      </w:r>
      <w:r w:rsidR="00776CE9">
        <w:t xml:space="preserve"> or transfers.</w:t>
      </w:r>
      <w:r w:rsidR="00CC5FD7">
        <w:t xml:space="preserve"> </w:t>
      </w:r>
      <w:hyperlink w:anchor="_Quick_look-up_reference" w:history="1">
        <w:r w:rsidR="00CC5FD7" w:rsidRPr="00E714DC">
          <w:rPr>
            <w:rStyle w:val="Hyperlink"/>
          </w:rPr>
          <w:t>Section three</w:t>
        </w:r>
      </w:hyperlink>
      <w:r w:rsidR="00CC5FD7" w:rsidRPr="00CC5FD7">
        <w:t xml:space="preserve"> contains a quick reference look up.</w:t>
      </w:r>
    </w:p>
    <w:p w14:paraId="6B832293" w14:textId="0BCFE5E7" w:rsidR="005834AB" w:rsidRDefault="005834AB" w:rsidP="00443206">
      <w:r>
        <w:t xml:space="preserve">For certain discretions, administering authorities must follow specific rules, including having a written policy statement. These rules also outline the procedures for creating, publishing and reviewing the policy, including considerations authorities must take into account. For other discretions, there are no such specific rules. However, to promote strong governance, it is recommended that authorities still maintain a written policy statement. </w:t>
      </w:r>
      <w:r w:rsidRPr="00C66EB3">
        <w:t xml:space="preserve">Each discretion includes a link to further information in </w:t>
      </w:r>
      <w:hyperlink w:anchor="_Meaning_of_terms" w:history="1">
        <w:r w:rsidR="00801900">
          <w:rPr>
            <w:rStyle w:val="Hyperlink"/>
          </w:rPr>
          <w:t>section five</w:t>
        </w:r>
      </w:hyperlink>
      <w:r w:rsidRPr="00C66EB3">
        <w:t xml:space="preserve">, outlining </w:t>
      </w:r>
      <w:r>
        <w:t xml:space="preserve">any </w:t>
      </w:r>
      <w:r w:rsidRPr="00C66EB3">
        <w:t>specific rules relevant to that discretion.</w:t>
      </w:r>
    </w:p>
    <w:p w14:paraId="38813364" w14:textId="091A105B" w:rsidR="0097042E" w:rsidRDefault="00093B03" w:rsidP="00443206">
      <w:r>
        <w:t>In the guide, we refer to different regulations</w:t>
      </w:r>
      <w:r w:rsidR="001A2106">
        <w:t>,</w:t>
      </w:r>
      <w:r>
        <w:t xml:space="preserve"> which </w:t>
      </w:r>
      <w:r w:rsidR="00B93BE1">
        <w:t>are abbreviated</w:t>
      </w:r>
      <w:r>
        <w:t xml:space="preserve"> as follows:</w:t>
      </w:r>
    </w:p>
    <w:p w14:paraId="3D3DBFA0" w14:textId="1A492046" w:rsidR="00093B03" w:rsidRDefault="0029590B" w:rsidP="00093B03">
      <w:pPr>
        <w:pStyle w:val="ListBullet"/>
      </w:pPr>
      <w:r>
        <w:t xml:space="preserve">The Local Government Pension Scheme (Scotland) Regulations 2018 – </w:t>
      </w:r>
      <w:r w:rsidR="00265510">
        <w:t>‘</w:t>
      </w:r>
      <w:r>
        <w:t>2018 Regulations</w:t>
      </w:r>
      <w:r w:rsidR="00265510">
        <w:t>’</w:t>
      </w:r>
    </w:p>
    <w:p w14:paraId="71353562" w14:textId="02917DDE" w:rsidR="00265510" w:rsidRDefault="00265510" w:rsidP="00093B03">
      <w:pPr>
        <w:pStyle w:val="ListBullet"/>
      </w:pPr>
      <w:r>
        <w:t>The Local Government Pension Scheme (Transitional Provisions and Savings) (Scotland) Regulations 2014 – ‘2014 Transitional Regulations’</w:t>
      </w:r>
    </w:p>
    <w:p w14:paraId="5624C81F" w14:textId="28F2AB7B" w:rsidR="00F6048B" w:rsidRDefault="00F6048B" w:rsidP="00093B03">
      <w:pPr>
        <w:pStyle w:val="ListBullet"/>
      </w:pPr>
      <w:r>
        <w:t>The Local Government Pension Scheme (Benefits, Membership and Contributions) (Scotland) Regulations 2008 – ‘2008 Benefit Regulations’</w:t>
      </w:r>
    </w:p>
    <w:p w14:paraId="2182353D" w14:textId="16A781C1" w:rsidR="00DB59F4" w:rsidRDefault="00DB59F4" w:rsidP="00093B03">
      <w:pPr>
        <w:pStyle w:val="ListBullet"/>
      </w:pPr>
      <w:r>
        <w:t xml:space="preserve">The Local Government Pension Scheme (Administration) </w:t>
      </w:r>
      <w:r w:rsidR="00317271">
        <w:t xml:space="preserve">(Scotland) </w:t>
      </w:r>
      <w:r>
        <w:t>Regulations 2008 – ‘2008 Administration Regulations’</w:t>
      </w:r>
    </w:p>
    <w:p w14:paraId="2DB4F30C" w14:textId="2912E5A3" w:rsidR="00C562FF" w:rsidRDefault="00C562FF" w:rsidP="00093B03">
      <w:pPr>
        <w:pStyle w:val="ListBullet"/>
      </w:pPr>
      <w:r>
        <w:t>The Local Government Pension Scheme (Transitional Provisions) (Scotland) Regulations 2008 ‘2008 Transitional Regulations’</w:t>
      </w:r>
    </w:p>
    <w:p w14:paraId="59AB3C13" w14:textId="78DAF532" w:rsidR="007A5D1A" w:rsidRDefault="007A5D1A" w:rsidP="00093B03">
      <w:pPr>
        <w:pStyle w:val="ListBullet"/>
      </w:pPr>
      <w:r>
        <w:t>The Local Government Pension Scheme (Scotland) Regulations 1998 – ‘</w:t>
      </w:r>
      <w:r w:rsidR="006F0CFE">
        <w:t>1998 Regulations’</w:t>
      </w:r>
    </w:p>
    <w:p w14:paraId="16B73D0F" w14:textId="678AC348" w:rsidR="00366EBE" w:rsidRDefault="00FC450C" w:rsidP="00093B03">
      <w:pPr>
        <w:pStyle w:val="ListBullet"/>
      </w:pPr>
      <w:r>
        <w:t>The Local Government Pension Scheme (Transitional Provisions) (Scotland) Regulations 1998 – ‘1998 Transitional Regulations’</w:t>
      </w:r>
    </w:p>
    <w:p w14:paraId="1CE645CC" w14:textId="05D71EB7" w:rsidR="00F010EE" w:rsidRDefault="00F010EE" w:rsidP="00093B03">
      <w:pPr>
        <w:pStyle w:val="ListBullet"/>
      </w:pPr>
      <w:r>
        <w:t xml:space="preserve">The Local Government (Discretionary Payments and Injury Benefits) (Scotland) Regulations 1998 – ‘1998 Discretionary </w:t>
      </w:r>
      <w:r w:rsidR="00080FF4">
        <w:t>Regulations’</w:t>
      </w:r>
    </w:p>
    <w:p w14:paraId="5EEED386" w14:textId="33249C7E" w:rsidR="00FA75CC" w:rsidRDefault="00FA75CC" w:rsidP="00093B03">
      <w:pPr>
        <w:pStyle w:val="ListBullet"/>
      </w:pPr>
      <w:r>
        <w:lastRenderedPageBreak/>
        <w:t>The Local Government Superannuation (Scotland) Regulations 1987 – ‘1987 Regulations’</w:t>
      </w:r>
    </w:p>
    <w:p w14:paraId="74CED27A" w14:textId="62ADBEA9" w:rsidR="00852242" w:rsidRDefault="00852242" w:rsidP="00093B03">
      <w:pPr>
        <w:pStyle w:val="ListBullet"/>
      </w:pPr>
      <w:r>
        <w:t>The Registered Pension Schemes (Modification of Scheme Rules) Regulations</w:t>
      </w:r>
      <w:r w:rsidR="00B54683">
        <w:t xml:space="preserve"> 2011</w:t>
      </w:r>
      <w:r>
        <w:t xml:space="preserve"> – ‘2011 Modification Regulations’.</w:t>
      </w:r>
    </w:p>
    <w:p w14:paraId="4BAC8DF2" w14:textId="3921814A" w:rsidR="00265510" w:rsidRDefault="002B4022" w:rsidP="00293BB7">
      <w:pPr>
        <w:pStyle w:val="ListBullet"/>
        <w:numPr>
          <w:ilvl w:val="0"/>
          <w:numId w:val="0"/>
        </w:numPr>
        <w:spacing w:before="240"/>
      </w:pPr>
      <w:r>
        <w:t>Except for</w:t>
      </w:r>
      <w:r w:rsidR="00852242">
        <w:t xml:space="preserve"> the 2011 Modification Regulations, y</w:t>
      </w:r>
      <w:r w:rsidR="001E5715">
        <w:t xml:space="preserve">ou can access </w:t>
      </w:r>
      <w:r w:rsidR="00B54683">
        <w:t>the</w:t>
      </w:r>
      <w:r>
        <w:t>se</w:t>
      </w:r>
      <w:r w:rsidR="00B54683">
        <w:t xml:space="preserve"> </w:t>
      </w:r>
      <w:r w:rsidR="001E5715">
        <w:t xml:space="preserve">regulations on </w:t>
      </w:r>
      <w:r w:rsidR="001F0693">
        <w:br/>
      </w:r>
      <w:hyperlink r:id="rId13" w:history="1">
        <w:r w:rsidR="00FA1626">
          <w:rPr>
            <w:rStyle w:val="Hyperlink"/>
          </w:rPr>
          <w:t>the Scheme regulations</w:t>
        </w:r>
      </w:hyperlink>
      <w:r w:rsidR="001E5715">
        <w:t xml:space="preserve"> page of </w:t>
      </w:r>
      <w:hyperlink r:id="rId14" w:history="1">
        <w:r w:rsidR="001E5715" w:rsidRPr="00A341B6">
          <w:rPr>
            <w:rStyle w:val="Hyperlink"/>
          </w:rPr>
          <w:t>www.scotlgpsregs.org</w:t>
        </w:r>
      </w:hyperlink>
      <w:r w:rsidR="001E5715">
        <w:t>.</w:t>
      </w:r>
    </w:p>
    <w:p w14:paraId="1388E9CF" w14:textId="77777777" w:rsidR="00CC5FD7" w:rsidRDefault="00CC5FD7" w:rsidP="0097042E">
      <w:pPr>
        <w:pStyle w:val="ListBullet"/>
        <w:numPr>
          <w:ilvl w:val="0"/>
          <w:numId w:val="0"/>
        </w:numPr>
        <w:sectPr w:rsidR="00CC5FD7" w:rsidSect="00560762">
          <w:headerReference w:type="default" r:id="rId15"/>
          <w:footerReference w:type="default" r:id="rId16"/>
          <w:pgSz w:w="11906" w:h="16838"/>
          <w:pgMar w:top="1440" w:right="1440" w:bottom="1440" w:left="1440" w:header="708" w:footer="708" w:gutter="0"/>
          <w:cols w:space="708"/>
          <w:docGrid w:linePitch="360"/>
        </w:sectPr>
      </w:pPr>
    </w:p>
    <w:p w14:paraId="36BEA139" w14:textId="6EE53B2C" w:rsidR="000E6BC9" w:rsidRPr="00A85764" w:rsidRDefault="000E6BC9" w:rsidP="00A85764">
      <w:pPr>
        <w:pStyle w:val="Heading2"/>
      </w:pPr>
      <w:bookmarkStart w:id="20" w:name="_Quick_look-up_reference"/>
      <w:bookmarkStart w:id="21" w:name="_Toc196731777"/>
      <w:bookmarkStart w:id="22" w:name="_Toc197699105"/>
      <w:bookmarkEnd w:id="20"/>
      <w:r w:rsidRPr="00A85764">
        <w:lastRenderedPageBreak/>
        <w:t>Quick look-up reference guide to discretions</w:t>
      </w:r>
      <w:bookmarkEnd w:id="21"/>
      <w:bookmarkEnd w:id="22"/>
    </w:p>
    <w:p w14:paraId="4A3BC898" w14:textId="5527C086" w:rsidR="000E6BC9" w:rsidRDefault="000E6BC9" w:rsidP="000E6BC9">
      <w:pPr>
        <w:pStyle w:val="Caption"/>
        <w:keepNext/>
        <w:rPr>
          <w:b/>
          <w:bCs/>
          <w:i w:val="0"/>
          <w:iCs w:val="0"/>
          <w:color w:val="auto"/>
          <w:sz w:val="24"/>
          <w:szCs w:val="24"/>
        </w:rPr>
      </w:pPr>
      <w:r w:rsidRPr="00FA29DA">
        <w:rPr>
          <w:b/>
          <w:bCs/>
          <w:i w:val="0"/>
          <w:iCs w:val="0"/>
          <w:color w:val="auto"/>
          <w:sz w:val="24"/>
          <w:szCs w:val="24"/>
        </w:rPr>
        <w:t xml:space="preserve">Table </w:t>
      </w:r>
      <w:r>
        <w:rPr>
          <w:b/>
          <w:bCs/>
          <w:i w:val="0"/>
          <w:iCs w:val="0"/>
          <w:color w:val="auto"/>
          <w:sz w:val="24"/>
          <w:szCs w:val="24"/>
        </w:rPr>
        <w:t>1</w:t>
      </w:r>
      <w:r w:rsidRPr="00FA29DA">
        <w:rPr>
          <w:b/>
          <w:bCs/>
          <w:i w:val="0"/>
          <w:iCs w:val="0"/>
          <w:color w:val="auto"/>
          <w:sz w:val="24"/>
          <w:szCs w:val="24"/>
        </w:rPr>
        <w:t xml:space="preserve"> </w:t>
      </w:r>
      <w:r>
        <w:rPr>
          <w:b/>
          <w:bCs/>
          <w:i w:val="0"/>
          <w:iCs w:val="0"/>
          <w:color w:val="auto"/>
          <w:sz w:val="24"/>
          <w:szCs w:val="24"/>
        </w:rPr>
        <w:t>–</w:t>
      </w:r>
      <w:r w:rsidRPr="00FA29DA">
        <w:rPr>
          <w:b/>
          <w:bCs/>
          <w:i w:val="0"/>
          <w:iCs w:val="0"/>
          <w:color w:val="auto"/>
          <w:sz w:val="24"/>
          <w:szCs w:val="24"/>
        </w:rPr>
        <w:t xml:space="preserve"> </w:t>
      </w:r>
      <w:r w:rsidR="00090889">
        <w:rPr>
          <w:b/>
          <w:bCs/>
          <w:i w:val="0"/>
          <w:iCs w:val="0"/>
          <w:color w:val="auto"/>
          <w:sz w:val="24"/>
          <w:szCs w:val="24"/>
        </w:rPr>
        <w:t>p</w:t>
      </w:r>
      <w:r>
        <w:rPr>
          <w:b/>
          <w:bCs/>
          <w:i w:val="0"/>
          <w:iCs w:val="0"/>
          <w:color w:val="auto"/>
          <w:sz w:val="24"/>
          <w:szCs w:val="24"/>
        </w:rPr>
        <w:t>rovides a quick look-up reference guide to the administering authority discretions. Further information on each discretion is shown in section four.</w:t>
      </w:r>
    </w:p>
    <w:tbl>
      <w:tblPr>
        <w:tblStyle w:val="TableGrid"/>
        <w:tblW w:w="9351" w:type="dxa"/>
        <w:tblLook w:val="04A0" w:firstRow="1" w:lastRow="0" w:firstColumn="1" w:lastColumn="0" w:noHBand="0" w:noVBand="1"/>
      </w:tblPr>
      <w:tblGrid>
        <w:gridCol w:w="2972"/>
        <w:gridCol w:w="6379"/>
      </w:tblGrid>
      <w:tr w:rsidR="00A65744" w:rsidRPr="0076392E" w14:paraId="5BDD084E" w14:textId="77777777" w:rsidTr="00C80B63">
        <w:trPr>
          <w:cantSplit/>
          <w:tblHeader/>
        </w:trPr>
        <w:tc>
          <w:tcPr>
            <w:tcW w:w="2972" w:type="dxa"/>
          </w:tcPr>
          <w:p w14:paraId="7D3EE648" w14:textId="77777777" w:rsidR="00A65744" w:rsidRPr="0076392E" w:rsidRDefault="00A65744" w:rsidP="00C80B63">
            <w:pPr>
              <w:spacing w:before="0" w:after="0"/>
              <w:rPr>
                <w:b/>
                <w:bCs/>
              </w:rPr>
            </w:pPr>
            <w:r>
              <w:rPr>
                <w:b/>
                <w:bCs/>
              </w:rPr>
              <w:t>Topic</w:t>
            </w:r>
          </w:p>
        </w:tc>
        <w:tc>
          <w:tcPr>
            <w:tcW w:w="6379" w:type="dxa"/>
          </w:tcPr>
          <w:p w14:paraId="71155EA6" w14:textId="77777777" w:rsidR="00A65744" w:rsidRPr="0076392E" w:rsidRDefault="00A65744" w:rsidP="00C80B63">
            <w:pPr>
              <w:spacing w:before="0" w:after="0"/>
              <w:rPr>
                <w:b/>
                <w:bCs/>
              </w:rPr>
            </w:pPr>
            <w:r>
              <w:rPr>
                <w:b/>
                <w:bCs/>
              </w:rPr>
              <w:t>Decision</w:t>
            </w:r>
          </w:p>
        </w:tc>
      </w:tr>
      <w:tr w:rsidR="00A65744" w14:paraId="71056DE3" w14:textId="77777777" w:rsidTr="00C80B63">
        <w:trPr>
          <w:cantSplit/>
        </w:trPr>
        <w:tc>
          <w:tcPr>
            <w:tcW w:w="2972" w:type="dxa"/>
          </w:tcPr>
          <w:p w14:paraId="499477DF" w14:textId="7CBCB060" w:rsidR="00A65744" w:rsidRDefault="00773B60" w:rsidP="00C80B63">
            <w:pPr>
              <w:spacing w:before="0"/>
            </w:pPr>
            <w:r>
              <w:t>Abatement</w:t>
            </w:r>
          </w:p>
        </w:tc>
        <w:tc>
          <w:tcPr>
            <w:tcW w:w="6379" w:type="dxa"/>
          </w:tcPr>
          <w:p w14:paraId="0127DAE7" w14:textId="78A145BC" w:rsidR="004A34E8" w:rsidRDefault="004A34E8" w:rsidP="004A34E8">
            <w:pPr>
              <w:pStyle w:val="ListBullet"/>
            </w:pPr>
            <w:hyperlink w:anchor="_Abatement" w:history="1">
              <w:r w:rsidRPr="004A34E8">
                <w:rPr>
                  <w:rStyle w:val="Hyperlink"/>
                </w:rPr>
                <w:t>Whether to reduce or suspend pre-April 15 pension while in new employment</w:t>
              </w:r>
            </w:hyperlink>
          </w:p>
        </w:tc>
      </w:tr>
      <w:tr w:rsidR="004A34E8" w14:paraId="67D76BDF" w14:textId="77777777" w:rsidTr="00C80B63">
        <w:trPr>
          <w:cantSplit/>
        </w:trPr>
        <w:tc>
          <w:tcPr>
            <w:tcW w:w="2972" w:type="dxa"/>
          </w:tcPr>
          <w:p w14:paraId="4CF0269C" w14:textId="68BA213F" w:rsidR="004A34E8" w:rsidRDefault="00C42E08" w:rsidP="00C80B63">
            <w:pPr>
              <w:spacing w:before="0"/>
            </w:pPr>
            <w:r>
              <w:t>Added years</w:t>
            </w:r>
          </w:p>
        </w:tc>
        <w:tc>
          <w:tcPr>
            <w:tcW w:w="6379" w:type="dxa"/>
          </w:tcPr>
          <w:p w14:paraId="3406116E" w14:textId="66C48C5D" w:rsidR="004A34E8" w:rsidRDefault="00C42E08" w:rsidP="004A34E8">
            <w:pPr>
              <w:pStyle w:val="ListBullet"/>
            </w:pPr>
            <w:hyperlink w:anchor="_Added_years" w:history="1">
              <w:r w:rsidRPr="008C59FF">
                <w:rPr>
                  <w:rStyle w:val="Hyperlink"/>
                </w:rPr>
                <w:t xml:space="preserve">Whether to allow late election </w:t>
              </w:r>
              <w:r w:rsidR="005440BA" w:rsidRPr="008C59FF">
                <w:rPr>
                  <w:rStyle w:val="Hyperlink"/>
                </w:rPr>
                <w:t>to pay off balance on leaving due to redundancy or business efficiency</w:t>
              </w:r>
            </w:hyperlink>
          </w:p>
        </w:tc>
      </w:tr>
      <w:tr w:rsidR="006704A9" w14:paraId="4E778CC9" w14:textId="77777777" w:rsidTr="00C80B63">
        <w:trPr>
          <w:cantSplit/>
        </w:trPr>
        <w:tc>
          <w:tcPr>
            <w:tcW w:w="2972" w:type="dxa"/>
          </w:tcPr>
          <w:p w14:paraId="6BA002ED" w14:textId="099D1F7F" w:rsidR="006704A9" w:rsidRDefault="006704A9" w:rsidP="00C80B63">
            <w:pPr>
              <w:spacing w:before="0"/>
            </w:pPr>
            <w:r>
              <w:t>Additional pension contributions (APCs)</w:t>
            </w:r>
          </w:p>
        </w:tc>
        <w:tc>
          <w:tcPr>
            <w:tcW w:w="6379" w:type="dxa"/>
          </w:tcPr>
          <w:p w14:paraId="1FCDAEC7" w14:textId="3BD15408" w:rsidR="006704A9" w:rsidRDefault="00E94E23" w:rsidP="004A34E8">
            <w:pPr>
              <w:pStyle w:val="ListBullet"/>
            </w:pPr>
            <w:hyperlink w:anchor="_Additional_pension_contribution" w:history="1">
              <w:r w:rsidRPr="00216B29">
                <w:rPr>
                  <w:rStyle w:val="Hyperlink"/>
                </w:rPr>
                <w:t xml:space="preserve">Whether to turn down application to pay APCs by regular contributions </w:t>
              </w:r>
              <w:r w:rsidR="00216B29" w:rsidRPr="00216B29">
                <w:rPr>
                  <w:rStyle w:val="Hyperlink"/>
                </w:rPr>
                <w:t>where it would be impractical to allow it</w:t>
              </w:r>
            </w:hyperlink>
          </w:p>
          <w:p w14:paraId="47F36109" w14:textId="77777777" w:rsidR="00216B29" w:rsidRDefault="003F23C4" w:rsidP="004A34E8">
            <w:pPr>
              <w:pStyle w:val="ListBullet"/>
            </w:pPr>
            <w:hyperlink w:anchor="_Additional_pension_contribution_1" w:history="1">
              <w:r w:rsidRPr="006E3BA4">
                <w:rPr>
                  <w:rStyle w:val="Hyperlink"/>
                </w:rPr>
                <w:t xml:space="preserve">Whether to require </w:t>
              </w:r>
              <w:r w:rsidR="006E3BA4" w:rsidRPr="006E3BA4">
                <w:rPr>
                  <w:rStyle w:val="Hyperlink"/>
                </w:rPr>
                <w:t xml:space="preserve">a </w:t>
              </w:r>
              <w:r w:rsidRPr="006E3BA4">
                <w:rPr>
                  <w:rStyle w:val="Hyperlink"/>
                </w:rPr>
                <w:t xml:space="preserve">member applying to pay APCs to produce </w:t>
              </w:r>
              <w:r w:rsidR="006E3BA4" w:rsidRPr="006E3BA4">
                <w:rPr>
                  <w:rStyle w:val="Hyperlink"/>
                </w:rPr>
                <w:t>a medical report</w:t>
              </w:r>
            </w:hyperlink>
          </w:p>
          <w:p w14:paraId="749D37EE" w14:textId="20111D06" w:rsidR="006E3BA4" w:rsidRDefault="003F03DF" w:rsidP="004A34E8">
            <w:pPr>
              <w:pStyle w:val="ListBullet"/>
            </w:pPr>
            <w:hyperlink w:anchor="_Additional_Pension_Contribution_2" w:history="1">
              <w:r w:rsidRPr="003F03DF">
                <w:rPr>
                  <w:rStyle w:val="Hyperlink"/>
                </w:rPr>
                <w:t>Whether to refuse APC application where administering authority is not satisfied that the member is in reasonably good health</w:t>
              </w:r>
            </w:hyperlink>
          </w:p>
        </w:tc>
      </w:tr>
      <w:tr w:rsidR="009D1F65" w14:paraId="2A11E7EB" w14:textId="77777777" w:rsidTr="00C80B63">
        <w:trPr>
          <w:cantSplit/>
        </w:trPr>
        <w:tc>
          <w:tcPr>
            <w:tcW w:w="2972" w:type="dxa"/>
          </w:tcPr>
          <w:p w14:paraId="2C3726B4" w14:textId="3A2108A3" w:rsidR="009D1F65" w:rsidRDefault="001E5A1A" w:rsidP="00C80B63">
            <w:pPr>
              <w:spacing w:before="0"/>
            </w:pPr>
            <w:r>
              <w:t>Additional voluntary contributions (AVCs)</w:t>
            </w:r>
          </w:p>
        </w:tc>
        <w:tc>
          <w:tcPr>
            <w:tcW w:w="6379" w:type="dxa"/>
          </w:tcPr>
          <w:p w14:paraId="6D669355" w14:textId="5C2F8461" w:rsidR="009D1F65" w:rsidRDefault="001E5A1A" w:rsidP="004A34E8">
            <w:pPr>
              <w:pStyle w:val="ListBullet"/>
            </w:pPr>
            <w:hyperlink w:anchor="_Additional_voluntary_contributions" w:history="1">
              <w:r w:rsidRPr="004B4785">
                <w:rPr>
                  <w:rStyle w:val="Hyperlink"/>
                </w:rPr>
                <w:t>Who to pay AVC death grant to</w:t>
              </w:r>
              <w:r w:rsidR="004B4785" w:rsidRPr="004B4785">
                <w:rPr>
                  <w:rStyle w:val="Hyperlink"/>
                </w:rPr>
                <w:t xml:space="preserve"> </w:t>
              </w:r>
              <w:r w:rsidRPr="004B4785">
                <w:rPr>
                  <w:rStyle w:val="Hyperlink"/>
                </w:rPr>
                <w:t>(post</w:t>
              </w:r>
              <w:r w:rsidR="009F66DF">
                <w:rPr>
                  <w:rStyle w:val="Hyperlink"/>
                </w:rPr>
                <w:t>-</w:t>
              </w:r>
              <w:r w:rsidRPr="004B4785">
                <w:rPr>
                  <w:rStyle w:val="Hyperlink"/>
                </w:rPr>
                <w:t>March 15 leavers)</w:t>
              </w:r>
            </w:hyperlink>
          </w:p>
          <w:p w14:paraId="5AD4A02E" w14:textId="1CB03B0E" w:rsidR="004B4785" w:rsidRDefault="00CF4022" w:rsidP="004A34E8">
            <w:pPr>
              <w:pStyle w:val="ListBullet"/>
            </w:pPr>
            <w:hyperlink w:anchor="_Additional_voluntary_contributions_1" w:history="1">
              <w:r>
                <w:rPr>
                  <w:rStyle w:val="Hyperlink"/>
                </w:rPr>
                <w:t>Who to pay AVC death grant to (pension credit members under the 2015 Scheme)</w:t>
              </w:r>
            </w:hyperlink>
          </w:p>
        </w:tc>
      </w:tr>
      <w:tr w:rsidR="00E724FF" w14:paraId="1B71EF58" w14:textId="77777777" w:rsidTr="00C80B63">
        <w:trPr>
          <w:cantSplit/>
        </w:trPr>
        <w:tc>
          <w:tcPr>
            <w:tcW w:w="2972" w:type="dxa"/>
          </w:tcPr>
          <w:p w14:paraId="0F050302" w14:textId="75392752" w:rsidR="00E724FF" w:rsidRDefault="00E724FF" w:rsidP="00C80B63">
            <w:pPr>
              <w:spacing w:before="0"/>
            </w:pPr>
            <w:r>
              <w:t>Admission agreements</w:t>
            </w:r>
          </w:p>
        </w:tc>
        <w:tc>
          <w:tcPr>
            <w:tcW w:w="6379" w:type="dxa"/>
          </w:tcPr>
          <w:p w14:paraId="757FAF9E" w14:textId="77777777" w:rsidR="00E724FF" w:rsidRDefault="00E724FF" w:rsidP="004A34E8">
            <w:pPr>
              <w:pStyle w:val="ListBullet"/>
            </w:pPr>
            <w:hyperlink w:anchor="_Admission_agreements" w:history="1">
              <w:r w:rsidRPr="00A102F9">
                <w:rPr>
                  <w:rStyle w:val="Hyperlink"/>
                </w:rPr>
                <w:t>Whether to agree to an admission agreement application</w:t>
              </w:r>
            </w:hyperlink>
          </w:p>
          <w:p w14:paraId="303C2071" w14:textId="77777777" w:rsidR="00D42A10" w:rsidRDefault="00D42A10" w:rsidP="004A34E8">
            <w:pPr>
              <w:pStyle w:val="ListBullet"/>
            </w:pPr>
            <w:hyperlink w:anchor="_Admission_agreements_1" w:history="1">
              <w:r w:rsidRPr="009F4424">
                <w:rPr>
                  <w:rStyle w:val="Hyperlink"/>
                </w:rPr>
                <w:t xml:space="preserve">Whether to end an admission agreement </w:t>
              </w:r>
              <w:r w:rsidR="009F4424" w:rsidRPr="009F4424">
                <w:rPr>
                  <w:rStyle w:val="Hyperlink"/>
                </w:rPr>
                <w:t>due to certain events</w:t>
              </w:r>
            </w:hyperlink>
          </w:p>
          <w:p w14:paraId="6FF8F28F" w14:textId="77777777" w:rsidR="009F4424" w:rsidRDefault="009F4424" w:rsidP="004A34E8">
            <w:pPr>
              <w:pStyle w:val="ListBullet"/>
            </w:pPr>
            <w:hyperlink w:anchor="_Admission_agreements_2" w:history="1">
              <w:r w:rsidRPr="00A50201">
                <w:rPr>
                  <w:rStyle w:val="Hyperlink"/>
                </w:rPr>
                <w:t xml:space="preserve">Define what is meant by “employed in connection with” for </w:t>
              </w:r>
              <w:r w:rsidR="00A50201" w:rsidRPr="00A50201">
                <w:rPr>
                  <w:rStyle w:val="Hyperlink"/>
                </w:rPr>
                <w:t>certain admitted bodies</w:t>
              </w:r>
            </w:hyperlink>
          </w:p>
          <w:p w14:paraId="4E512E81" w14:textId="2D0FED0E" w:rsidR="00A50201" w:rsidRDefault="00A50201" w:rsidP="004A34E8">
            <w:pPr>
              <w:pStyle w:val="ListBullet"/>
            </w:pPr>
            <w:hyperlink w:anchor="_Admission_agreements_3" w:history="1">
              <w:r w:rsidRPr="00A50201">
                <w:rPr>
                  <w:rStyle w:val="Hyperlink"/>
                </w:rPr>
                <w:t>Whether to create a separate pension fund for specified admitted bodies</w:t>
              </w:r>
            </w:hyperlink>
          </w:p>
        </w:tc>
      </w:tr>
      <w:tr w:rsidR="00D42A10" w14:paraId="72A707CA" w14:textId="77777777" w:rsidTr="00C80B63">
        <w:trPr>
          <w:cantSplit/>
        </w:trPr>
        <w:tc>
          <w:tcPr>
            <w:tcW w:w="2972" w:type="dxa"/>
          </w:tcPr>
          <w:p w14:paraId="53A9FD76" w14:textId="2EFA0497" w:rsidR="00D42A10" w:rsidRDefault="00D84557" w:rsidP="00C80B63">
            <w:pPr>
              <w:spacing w:before="0"/>
            </w:pPr>
            <w:r>
              <w:t>Aggregation</w:t>
            </w:r>
          </w:p>
        </w:tc>
        <w:tc>
          <w:tcPr>
            <w:tcW w:w="6379" w:type="dxa"/>
          </w:tcPr>
          <w:p w14:paraId="3B6D7ED2" w14:textId="7654ED7D" w:rsidR="00D42A10" w:rsidRDefault="0047162C" w:rsidP="004A34E8">
            <w:pPr>
              <w:pStyle w:val="ListBullet"/>
            </w:pPr>
            <w:hyperlink w:anchor="_Aggregation" w:history="1">
              <w:r>
                <w:rPr>
                  <w:rStyle w:val="Hyperlink"/>
                </w:rPr>
                <w:t>Which continuing employment to aggregate pre-April 15 benefits (concurrent cases, post</w:t>
              </w:r>
              <w:r w:rsidR="009F66DF">
                <w:rPr>
                  <w:rStyle w:val="Hyperlink"/>
                </w:rPr>
                <w:t>-</w:t>
              </w:r>
              <w:r>
                <w:rPr>
                  <w:rStyle w:val="Hyperlink"/>
                </w:rPr>
                <w:t>March 15 leavers)</w:t>
              </w:r>
            </w:hyperlink>
          </w:p>
        </w:tc>
      </w:tr>
      <w:tr w:rsidR="006E2488" w14:paraId="29CF2F86" w14:textId="77777777" w:rsidTr="00C80B63">
        <w:trPr>
          <w:cantSplit/>
        </w:trPr>
        <w:tc>
          <w:tcPr>
            <w:tcW w:w="2972" w:type="dxa"/>
          </w:tcPr>
          <w:p w14:paraId="7A52DC9A" w14:textId="6DA9063B" w:rsidR="006E2488" w:rsidRDefault="00993541" w:rsidP="00C80B63">
            <w:pPr>
              <w:spacing w:before="0"/>
            </w:pPr>
            <w:r>
              <w:t>Annual benefit statements</w:t>
            </w:r>
          </w:p>
        </w:tc>
        <w:tc>
          <w:tcPr>
            <w:tcW w:w="6379" w:type="dxa"/>
          </w:tcPr>
          <w:p w14:paraId="575AEED2" w14:textId="4E5DB174" w:rsidR="006E2488" w:rsidRDefault="009D620D" w:rsidP="004A34E8">
            <w:pPr>
              <w:pStyle w:val="ListBullet"/>
            </w:pPr>
            <w:hyperlink w:anchor="_Annual_benefit_statements" w:history="1">
              <w:r w:rsidRPr="009D620D">
                <w:rPr>
                  <w:rStyle w:val="Hyperlink"/>
                </w:rPr>
                <w:t xml:space="preserve">Which date to use to value the benefits </w:t>
              </w:r>
              <w:r w:rsidR="00DA73A8" w:rsidRPr="009D620D">
                <w:rPr>
                  <w:rStyle w:val="Hyperlink"/>
                </w:rPr>
                <w:t>(pre</w:t>
              </w:r>
              <w:r w:rsidR="00DB5CE9">
                <w:rPr>
                  <w:rStyle w:val="Hyperlink"/>
                </w:rPr>
                <w:t>-</w:t>
              </w:r>
              <w:r w:rsidR="00DA73A8" w:rsidRPr="009D620D">
                <w:rPr>
                  <w:rStyle w:val="Hyperlink"/>
                </w:rPr>
                <w:t>April 15 deferred members and pension credit members under the</w:t>
              </w:r>
              <w:r w:rsidR="00CF4022" w:rsidRPr="009D620D">
                <w:rPr>
                  <w:rStyle w:val="Hyperlink"/>
                </w:rPr>
                <w:t xml:space="preserve"> 1998 and 2009 schemes)</w:t>
              </w:r>
            </w:hyperlink>
          </w:p>
          <w:p w14:paraId="57E5E6AC" w14:textId="010E6851" w:rsidR="00EE13AA" w:rsidRDefault="003C0C7B" w:rsidP="004A34E8">
            <w:pPr>
              <w:pStyle w:val="ListBullet"/>
            </w:pPr>
            <w:hyperlink w:anchor="_Annual_benefit_statements_1" w:history="1">
              <w:r w:rsidRPr="0036567E">
                <w:rPr>
                  <w:rStyle w:val="Hyperlink"/>
                </w:rPr>
                <w:t>Whether to exclude underpin information in the 2024/25 statements for a certain member or class of members</w:t>
              </w:r>
            </w:hyperlink>
          </w:p>
        </w:tc>
      </w:tr>
      <w:tr w:rsidR="00207B7C" w14:paraId="6D800DD0" w14:textId="77777777" w:rsidTr="00C80B63">
        <w:trPr>
          <w:cantSplit/>
        </w:trPr>
        <w:tc>
          <w:tcPr>
            <w:tcW w:w="2972" w:type="dxa"/>
          </w:tcPr>
          <w:p w14:paraId="149EEEB3" w14:textId="6EE1F86C" w:rsidR="00207B7C" w:rsidRDefault="006C5FD7" w:rsidP="00C80B63">
            <w:pPr>
              <w:spacing w:before="0"/>
            </w:pPr>
            <w:r>
              <w:lastRenderedPageBreak/>
              <w:t>Appeals</w:t>
            </w:r>
          </w:p>
        </w:tc>
        <w:tc>
          <w:tcPr>
            <w:tcW w:w="6379" w:type="dxa"/>
          </w:tcPr>
          <w:p w14:paraId="63C1FDFD" w14:textId="77777777" w:rsidR="00207B7C" w:rsidRDefault="006C5FD7" w:rsidP="004A34E8">
            <w:pPr>
              <w:pStyle w:val="ListBullet"/>
            </w:pPr>
            <w:hyperlink w:anchor="_Appeals" w:history="1">
              <w:r w:rsidRPr="00544C97">
                <w:rPr>
                  <w:rStyle w:val="Hyperlink"/>
                </w:rPr>
                <w:t xml:space="preserve">Who </w:t>
              </w:r>
              <w:r w:rsidR="001F3B04" w:rsidRPr="00544C97">
                <w:rPr>
                  <w:rStyle w:val="Hyperlink"/>
                </w:rPr>
                <w:t>will decide stage one internal dispute resolution procedure (IDRP) appeals</w:t>
              </w:r>
            </w:hyperlink>
          </w:p>
          <w:p w14:paraId="4F1B5FF5" w14:textId="77777777" w:rsidR="00544C97" w:rsidRDefault="000E480C" w:rsidP="004A34E8">
            <w:pPr>
              <w:pStyle w:val="ListBullet"/>
            </w:pPr>
            <w:hyperlink w:anchor="_Appeals_1" w:history="1">
              <w:r w:rsidRPr="00401A5F">
                <w:rPr>
                  <w:rStyle w:val="Hyperlink"/>
                </w:rPr>
                <w:t>Whether to accept late stage one IDRP applications</w:t>
              </w:r>
            </w:hyperlink>
          </w:p>
          <w:p w14:paraId="3037F35D" w14:textId="4D7FA4DB" w:rsidR="00401A5F" w:rsidRDefault="00A140A3" w:rsidP="004A34E8">
            <w:pPr>
              <w:pStyle w:val="ListBullet"/>
            </w:pPr>
            <w:hyperlink w:anchor="_Appeals_2" w:history="1">
              <w:r w:rsidRPr="009A67EF">
                <w:rPr>
                  <w:rStyle w:val="Hyperlink"/>
                </w:rPr>
                <w:t xml:space="preserve">Whether to appeal to Scottish Ministers </w:t>
              </w:r>
              <w:r w:rsidR="003A65F4" w:rsidRPr="009A67EF">
                <w:rPr>
                  <w:rStyle w:val="Hyperlink"/>
                </w:rPr>
                <w:t xml:space="preserve">about an employer </w:t>
              </w:r>
              <w:r w:rsidR="009A67EF" w:rsidRPr="009A67EF">
                <w:rPr>
                  <w:rStyle w:val="Hyperlink"/>
                </w:rPr>
                <w:t xml:space="preserve">LGPS </w:t>
              </w:r>
              <w:r w:rsidR="003A65F4" w:rsidRPr="009A67EF">
                <w:rPr>
                  <w:rStyle w:val="Hyperlink"/>
                </w:rPr>
                <w:t>decision (or failure to make a decision)</w:t>
              </w:r>
            </w:hyperlink>
          </w:p>
        </w:tc>
      </w:tr>
      <w:tr w:rsidR="004C449B" w14:paraId="33B787D7" w14:textId="77777777" w:rsidTr="00C80B63">
        <w:trPr>
          <w:cantSplit/>
        </w:trPr>
        <w:tc>
          <w:tcPr>
            <w:tcW w:w="2972" w:type="dxa"/>
          </w:tcPr>
          <w:p w14:paraId="16D71090" w14:textId="139A3933" w:rsidR="004C449B" w:rsidRDefault="00AB2973" w:rsidP="00C80B63">
            <w:pPr>
              <w:spacing w:before="0"/>
            </w:pPr>
            <w:r>
              <w:t>Certificate of protection</w:t>
            </w:r>
          </w:p>
        </w:tc>
        <w:tc>
          <w:tcPr>
            <w:tcW w:w="6379" w:type="dxa"/>
          </w:tcPr>
          <w:p w14:paraId="53A31DB5" w14:textId="4B473E92" w:rsidR="004C449B" w:rsidRDefault="00BC326F" w:rsidP="004A34E8">
            <w:pPr>
              <w:pStyle w:val="ListBullet"/>
            </w:pPr>
            <w:hyperlink w:anchor="_Certificate_of_protection" w:history="1">
              <w:r w:rsidRPr="00334047">
                <w:rPr>
                  <w:rStyle w:val="Hyperlink"/>
                </w:rPr>
                <w:t xml:space="preserve">Whether to make election </w:t>
              </w:r>
              <w:r w:rsidR="00AF23C4" w:rsidRPr="00334047">
                <w:rPr>
                  <w:rStyle w:val="Hyperlink"/>
                </w:rPr>
                <w:t>to use a</w:t>
              </w:r>
              <w:r w:rsidRPr="00334047">
                <w:rPr>
                  <w:rStyle w:val="Hyperlink"/>
                </w:rPr>
                <w:t xml:space="preserve"> certificate</w:t>
              </w:r>
              <w:r w:rsidR="00AF23C4" w:rsidRPr="00334047">
                <w:rPr>
                  <w:rStyle w:val="Hyperlink"/>
                </w:rPr>
                <w:t xml:space="preserve"> of protection</w:t>
              </w:r>
              <w:r w:rsidRPr="00334047">
                <w:rPr>
                  <w:rStyle w:val="Hyperlink"/>
                </w:rPr>
                <w:t xml:space="preserve"> on behalf of a deceased member</w:t>
              </w:r>
            </w:hyperlink>
          </w:p>
        </w:tc>
      </w:tr>
      <w:tr w:rsidR="00711613" w14:paraId="480F8FAA" w14:textId="77777777" w:rsidTr="00C80B63">
        <w:trPr>
          <w:cantSplit/>
        </w:trPr>
        <w:tc>
          <w:tcPr>
            <w:tcW w:w="2972" w:type="dxa"/>
          </w:tcPr>
          <w:p w14:paraId="6B7B2C65" w14:textId="46A823A2" w:rsidR="00711613" w:rsidRDefault="00711613" w:rsidP="00C80B63">
            <w:pPr>
              <w:spacing w:before="0"/>
            </w:pPr>
            <w:r>
              <w:t>Communication strategy</w:t>
            </w:r>
          </w:p>
        </w:tc>
        <w:tc>
          <w:tcPr>
            <w:tcW w:w="6379" w:type="dxa"/>
          </w:tcPr>
          <w:p w14:paraId="6F631AFF" w14:textId="7D92DF2D" w:rsidR="00711613" w:rsidRDefault="00F361D7" w:rsidP="004A34E8">
            <w:pPr>
              <w:pStyle w:val="ListBullet"/>
            </w:pPr>
            <w:hyperlink w:anchor="_Communication_strategy" w:history="1">
              <w:r w:rsidRPr="00673079">
                <w:rPr>
                  <w:rStyle w:val="Hyperlink"/>
                </w:rPr>
                <w:t xml:space="preserve">What the authority’s </w:t>
              </w:r>
              <w:r w:rsidR="00673079" w:rsidRPr="00673079">
                <w:rPr>
                  <w:rStyle w:val="Hyperlink"/>
                </w:rPr>
                <w:t>policy should be on communicating with certain stakeholders</w:t>
              </w:r>
            </w:hyperlink>
          </w:p>
        </w:tc>
      </w:tr>
      <w:tr w:rsidR="00673079" w14:paraId="036149D3" w14:textId="77777777" w:rsidTr="00C80B63">
        <w:trPr>
          <w:cantSplit/>
        </w:trPr>
        <w:tc>
          <w:tcPr>
            <w:tcW w:w="2972" w:type="dxa"/>
          </w:tcPr>
          <w:p w14:paraId="601CB9F3" w14:textId="51643C57" w:rsidR="00673079" w:rsidRDefault="000C0576" w:rsidP="00C80B63">
            <w:pPr>
              <w:spacing w:before="0"/>
            </w:pPr>
            <w:r>
              <w:t>Compensatory added years (CAYs)</w:t>
            </w:r>
          </w:p>
        </w:tc>
        <w:tc>
          <w:tcPr>
            <w:tcW w:w="6379" w:type="dxa"/>
          </w:tcPr>
          <w:p w14:paraId="2B6CEF26" w14:textId="77777777" w:rsidR="00673079" w:rsidRDefault="00241BD8" w:rsidP="004A34E8">
            <w:pPr>
              <w:pStyle w:val="ListBullet"/>
            </w:pPr>
            <w:hyperlink w:anchor="_Compensatory_added_years" w:history="1">
              <w:r w:rsidRPr="00241BD8">
                <w:rPr>
                  <w:rStyle w:val="Hyperlink"/>
                </w:rPr>
                <w:t>Whether to agree to pay CAYs on the employer’s behalf</w:t>
              </w:r>
            </w:hyperlink>
          </w:p>
          <w:p w14:paraId="79E5C2E1" w14:textId="77777777" w:rsidR="00241BD8" w:rsidRDefault="00225CBB" w:rsidP="004A34E8">
            <w:pPr>
              <w:pStyle w:val="ListBullet"/>
            </w:pPr>
            <w:hyperlink w:anchor="_Compensatory_added_years_1" w:history="1">
              <w:r w:rsidRPr="00C31AAF">
                <w:rPr>
                  <w:rStyle w:val="Hyperlink"/>
                </w:rPr>
                <w:t>At which intervals to pay regular CAYs payments</w:t>
              </w:r>
            </w:hyperlink>
          </w:p>
          <w:p w14:paraId="49169BBC" w14:textId="0628733C" w:rsidR="00C31AAF" w:rsidRDefault="004D6115" w:rsidP="004A34E8">
            <w:pPr>
              <w:pStyle w:val="ListBullet"/>
            </w:pPr>
            <w:hyperlink w:anchor="_Compensatory_added_years_2" w:history="1">
              <w:r w:rsidRPr="004D6115">
                <w:rPr>
                  <w:rStyle w:val="Hyperlink"/>
                </w:rPr>
                <w:t>How to recover CAYs payments made in error by the administering authority</w:t>
              </w:r>
            </w:hyperlink>
          </w:p>
        </w:tc>
      </w:tr>
      <w:tr w:rsidR="004D6115" w14:paraId="7397BAC9" w14:textId="77777777" w:rsidTr="00C80B63">
        <w:trPr>
          <w:cantSplit/>
        </w:trPr>
        <w:tc>
          <w:tcPr>
            <w:tcW w:w="2972" w:type="dxa"/>
          </w:tcPr>
          <w:p w14:paraId="11027698" w14:textId="39CEEF90" w:rsidR="004D6115" w:rsidRDefault="000A52F3" w:rsidP="00C80B63">
            <w:pPr>
              <w:spacing w:before="0"/>
            </w:pPr>
            <w:r>
              <w:t>Death</w:t>
            </w:r>
          </w:p>
        </w:tc>
        <w:tc>
          <w:tcPr>
            <w:tcW w:w="6379" w:type="dxa"/>
          </w:tcPr>
          <w:p w14:paraId="7B3FE364" w14:textId="77777777" w:rsidR="004D6115" w:rsidRDefault="007A7E41" w:rsidP="004A34E8">
            <w:pPr>
              <w:pStyle w:val="ListBullet"/>
            </w:pPr>
            <w:hyperlink w:anchor="_Death_–_cohabiting" w:history="1">
              <w:r w:rsidRPr="005C0839">
                <w:rPr>
                  <w:rStyle w:val="Hyperlink"/>
                </w:rPr>
                <w:t xml:space="preserve">What evidence is needed to assess </w:t>
              </w:r>
              <w:r w:rsidR="005C0839" w:rsidRPr="005C0839">
                <w:rPr>
                  <w:rStyle w:val="Hyperlink"/>
                </w:rPr>
                <w:t xml:space="preserve">a </w:t>
              </w:r>
              <w:r w:rsidRPr="005C0839">
                <w:rPr>
                  <w:rStyle w:val="Hyperlink"/>
                </w:rPr>
                <w:t xml:space="preserve">cohabiting partner’s eligibility </w:t>
              </w:r>
              <w:r w:rsidR="005C0839" w:rsidRPr="005C0839">
                <w:rPr>
                  <w:rStyle w:val="Hyperlink"/>
                </w:rPr>
                <w:t>for a survivor pension</w:t>
              </w:r>
            </w:hyperlink>
          </w:p>
          <w:p w14:paraId="6A15F928" w14:textId="15ECCCA3" w:rsidR="005C0839" w:rsidRDefault="0061794E" w:rsidP="004A34E8">
            <w:pPr>
              <w:pStyle w:val="ListBullet"/>
            </w:pPr>
            <w:hyperlink w:anchor="_Death_–_death" w:history="1">
              <w:r w:rsidRPr="00E14C09">
                <w:rPr>
                  <w:rStyle w:val="Hyperlink"/>
                </w:rPr>
                <w:t>Who to pay death</w:t>
              </w:r>
              <w:r w:rsidR="00E14C09" w:rsidRPr="00E14C09">
                <w:rPr>
                  <w:rStyle w:val="Hyperlink"/>
                </w:rPr>
                <w:t xml:space="preserve"> grant</w:t>
              </w:r>
              <w:r w:rsidRPr="00E14C09">
                <w:rPr>
                  <w:rStyle w:val="Hyperlink"/>
                </w:rPr>
                <w:t xml:space="preserve"> to (post</w:t>
              </w:r>
              <w:r w:rsidR="009F66DF">
                <w:rPr>
                  <w:rStyle w:val="Hyperlink"/>
                </w:rPr>
                <w:t>-</w:t>
              </w:r>
              <w:r w:rsidRPr="00E14C09">
                <w:rPr>
                  <w:rStyle w:val="Hyperlink"/>
                </w:rPr>
                <w:t>March 15 leavers)</w:t>
              </w:r>
            </w:hyperlink>
          </w:p>
          <w:p w14:paraId="3517F2D9" w14:textId="39A8DB4E" w:rsidR="00D56CB9" w:rsidRDefault="00D56CB9" w:rsidP="00D56CB9">
            <w:pPr>
              <w:pStyle w:val="ListBullet"/>
            </w:pPr>
            <w:hyperlink w:anchor="_Death_–_death_1" w:history="1">
              <w:r>
                <w:rPr>
                  <w:rStyle w:val="Hyperlink"/>
                </w:rPr>
                <w:t>Who to pay death grant to (</w:t>
              </w:r>
              <w:r w:rsidR="00DB5CE9">
                <w:rPr>
                  <w:rStyle w:val="Hyperlink"/>
                </w:rPr>
                <w:t>p</w:t>
              </w:r>
              <w:r>
                <w:rPr>
                  <w:rStyle w:val="Hyperlink"/>
                </w:rPr>
                <w:t>re</w:t>
              </w:r>
              <w:r w:rsidR="00DB5CE9">
                <w:rPr>
                  <w:rStyle w:val="Hyperlink"/>
                </w:rPr>
                <w:t>-</w:t>
              </w:r>
              <w:r>
                <w:rPr>
                  <w:rStyle w:val="Hyperlink"/>
                </w:rPr>
                <w:t>April 15 leavers)</w:t>
              </w:r>
            </w:hyperlink>
          </w:p>
          <w:p w14:paraId="17E83140" w14:textId="359E0A83" w:rsidR="00947C2E" w:rsidRPr="00B95E30" w:rsidRDefault="00B95E30" w:rsidP="00947C2E">
            <w:pPr>
              <w:pStyle w:val="ListBullet"/>
              <w:rPr>
                <w:rStyle w:val="Hyperlink"/>
              </w:rPr>
            </w:pPr>
            <w:r>
              <w:fldChar w:fldCharType="begin"/>
            </w:r>
            <w:r>
              <w:instrText>HYPERLINK  \l "_Death_–_death_2"</w:instrText>
            </w:r>
            <w:r>
              <w:fldChar w:fldCharType="separate"/>
            </w:r>
            <w:r w:rsidR="00947C2E" w:rsidRPr="00B95E30">
              <w:rPr>
                <w:rStyle w:val="Hyperlink"/>
              </w:rPr>
              <w:t>Who to pay death grant to (pension credit member</w:t>
            </w:r>
            <w:r w:rsidR="00B35C59">
              <w:rPr>
                <w:rStyle w:val="Hyperlink"/>
              </w:rPr>
              <w:t>s</w:t>
            </w:r>
            <w:r w:rsidR="00947C2E" w:rsidRPr="00B95E30">
              <w:rPr>
                <w:rStyle w:val="Hyperlink"/>
              </w:rPr>
              <w:t xml:space="preserve"> under the 2015 Scheme)</w:t>
            </w:r>
          </w:p>
          <w:p w14:paraId="6638B8C6" w14:textId="28D96AC7" w:rsidR="00B35C59" w:rsidRPr="00B95E30" w:rsidRDefault="00B95E30" w:rsidP="00B35C59">
            <w:pPr>
              <w:pStyle w:val="ListBullet"/>
              <w:rPr>
                <w:rStyle w:val="Hyperlink"/>
              </w:rPr>
            </w:pPr>
            <w:r>
              <w:fldChar w:fldCharType="end"/>
            </w:r>
            <w:r w:rsidR="00B35C59">
              <w:fldChar w:fldCharType="begin"/>
            </w:r>
            <w:r w:rsidR="00B35C59">
              <w:instrText>HYPERLINK  \l "_Death_–_death_3"</w:instrText>
            </w:r>
            <w:r w:rsidR="00B35C59">
              <w:fldChar w:fldCharType="separate"/>
            </w:r>
            <w:r w:rsidR="00B35C59" w:rsidRPr="00B95E30">
              <w:rPr>
                <w:rStyle w:val="Hyperlink"/>
              </w:rPr>
              <w:t>Who to pay death grant to (pension credit member</w:t>
            </w:r>
            <w:r w:rsidR="00B35C59">
              <w:rPr>
                <w:rStyle w:val="Hyperlink"/>
              </w:rPr>
              <w:t>s</w:t>
            </w:r>
            <w:r w:rsidR="00B35C59" w:rsidRPr="00B95E30">
              <w:rPr>
                <w:rStyle w:val="Hyperlink"/>
              </w:rPr>
              <w:t xml:space="preserve"> under the </w:t>
            </w:r>
            <w:r w:rsidR="00B35C59">
              <w:rPr>
                <w:rStyle w:val="Hyperlink"/>
              </w:rPr>
              <w:t>1998 or 2009</w:t>
            </w:r>
            <w:r w:rsidR="00B35C59" w:rsidRPr="00B95E30">
              <w:rPr>
                <w:rStyle w:val="Hyperlink"/>
              </w:rPr>
              <w:t xml:space="preserve"> Scheme</w:t>
            </w:r>
            <w:r w:rsidR="00B35C59">
              <w:rPr>
                <w:rStyle w:val="Hyperlink"/>
              </w:rPr>
              <w:t>s</w:t>
            </w:r>
            <w:r w:rsidR="00B35C59" w:rsidRPr="00B95E30">
              <w:rPr>
                <w:rStyle w:val="Hyperlink"/>
              </w:rPr>
              <w:t>)</w:t>
            </w:r>
          </w:p>
          <w:p w14:paraId="2942D674" w14:textId="63B364C0" w:rsidR="00957060" w:rsidRDefault="00B35C59" w:rsidP="00B35C59">
            <w:pPr>
              <w:pStyle w:val="ListBullet"/>
            </w:pPr>
            <w:r>
              <w:fldChar w:fldCharType="end"/>
            </w:r>
            <w:hyperlink w:anchor="_Death_–_small" w:history="1">
              <w:r w:rsidR="004F0480" w:rsidRPr="005D02A5">
                <w:rPr>
                  <w:rStyle w:val="Hyperlink"/>
                </w:rPr>
                <w:t xml:space="preserve">Whether to pay </w:t>
              </w:r>
              <w:r w:rsidR="00B83975" w:rsidRPr="005D02A5">
                <w:rPr>
                  <w:rStyle w:val="Hyperlink"/>
                </w:rPr>
                <w:t>the whole or part</w:t>
              </w:r>
              <w:r w:rsidR="004F0480" w:rsidRPr="005D02A5">
                <w:rPr>
                  <w:rStyle w:val="Hyperlink"/>
                </w:rPr>
                <w:t xml:space="preserve"> of the amount due </w:t>
              </w:r>
              <w:r w:rsidR="00544448" w:rsidRPr="005D02A5">
                <w:rPr>
                  <w:rStyle w:val="Hyperlink"/>
                </w:rPr>
                <w:t>to the estate</w:t>
              </w:r>
              <w:r w:rsidR="005D02A5" w:rsidRPr="005D02A5">
                <w:rPr>
                  <w:rStyle w:val="Hyperlink"/>
                </w:rPr>
                <w:t xml:space="preserve"> (total amount not more than £5,000)</w:t>
              </w:r>
              <w:r w:rsidR="00544448" w:rsidRPr="005D02A5">
                <w:rPr>
                  <w:rStyle w:val="Hyperlink"/>
                </w:rPr>
                <w:t xml:space="preserve"> without the need to obtain confirmation</w:t>
              </w:r>
            </w:hyperlink>
          </w:p>
          <w:p w14:paraId="75D76880" w14:textId="3754AA0D" w:rsidR="00B313D7" w:rsidRDefault="008741FC" w:rsidP="00B35C59">
            <w:pPr>
              <w:pStyle w:val="ListBullet"/>
            </w:pPr>
            <w:hyperlink w:anchor="_Death_–_children’s" w:history="1">
              <w:r w:rsidRPr="00C37641">
                <w:rPr>
                  <w:rStyle w:val="Hyperlink"/>
                </w:rPr>
                <w:t>Whether to pay a children’s pension</w:t>
              </w:r>
              <w:r w:rsidR="004967BA" w:rsidRPr="00C37641">
                <w:rPr>
                  <w:rStyle w:val="Hyperlink"/>
                </w:rPr>
                <w:t xml:space="preserve"> for pre-April 15 benefits to a different person, to be applied for the child’s benefit</w:t>
              </w:r>
            </w:hyperlink>
          </w:p>
          <w:p w14:paraId="6739A4D9" w14:textId="3066DCCD" w:rsidR="00C37641" w:rsidRDefault="00531A14" w:rsidP="00B35C59">
            <w:pPr>
              <w:pStyle w:val="ListBullet"/>
            </w:pPr>
            <w:hyperlink w:anchor="_Death_–_children’s_1" w:history="1">
              <w:r w:rsidRPr="006B546E">
                <w:rPr>
                  <w:rStyle w:val="Hyperlink"/>
                </w:rPr>
                <w:t>Whether to disregard breaks in education / vocational training whe</w:t>
              </w:r>
              <w:r w:rsidR="006B546E" w:rsidRPr="006B546E">
                <w:rPr>
                  <w:rStyle w:val="Hyperlink"/>
                </w:rPr>
                <w:t>n</w:t>
              </w:r>
              <w:r w:rsidRPr="006B546E">
                <w:rPr>
                  <w:rStyle w:val="Hyperlink"/>
                </w:rPr>
                <w:t xml:space="preserve"> considering </w:t>
              </w:r>
              <w:r w:rsidR="006B546E" w:rsidRPr="006B546E">
                <w:rPr>
                  <w:rStyle w:val="Hyperlink"/>
                </w:rPr>
                <w:t>whether a person qualifies as an eligible child</w:t>
              </w:r>
            </w:hyperlink>
          </w:p>
          <w:p w14:paraId="025B07B1" w14:textId="231B9E83" w:rsidR="006B546E" w:rsidRDefault="00437D3C" w:rsidP="00B35C59">
            <w:pPr>
              <w:pStyle w:val="ListBullet"/>
            </w:pPr>
            <w:hyperlink w:anchor="_Death_–_children’s_2" w:history="1">
              <w:r w:rsidRPr="000C46C4">
                <w:rPr>
                  <w:rStyle w:val="Hyperlink"/>
                </w:rPr>
                <w:t xml:space="preserve">Where there are multiple eligible children, how to apportion the </w:t>
              </w:r>
              <w:r w:rsidR="000C46C4" w:rsidRPr="000C46C4">
                <w:rPr>
                  <w:rStyle w:val="Hyperlink"/>
                </w:rPr>
                <w:t xml:space="preserve">pension </w:t>
              </w:r>
              <w:r w:rsidR="006272A0" w:rsidRPr="000C46C4">
                <w:rPr>
                  <w:rStyle w:val="Hyperlink"/>
                </w:rPr>
                <w:t>(</w:t>
              </w:r>
              <w:r w:rsidR="000C46C4" w:rsidRPr="000C46C4">
                <w:rPr>
                  <w:rStyle w:val="Hyperlink"/>
                </w:rPr>
                <w:t>pre</w:t>
              </w:r>
              <w:r w:rsidR="00721703">
                <w:rPr>
                  <w:rStyle w:val="Hyperlink"/>
                </w:rPr>
                <w:t>-</w:t>
              </w:r>
              <w:r w:rsidR="000C46C4" w:rsidRPr="000C46C4">
                <w:rPr>
                  <w:rStyle w:val="Hyperlink"/>
                </w:rPr>
                <w:t>April 09 leavers</w:t>
              </w:r>
              <w:r w:rsidR="006272A0" w:rsidRPr="000C46C4">
                <w:rPr>
                  <w:rStyle w:val="Hyperlink"/>
                </w:rPr>
                <w:t>)</w:t>
              </w:r>
            </w:hyperlink>
          </w:p>
          <w:p w14:paraId="268C68A8" w14:textId="1D5BD7D4" w:rsidR="00E14C09" w:rsidRDefault="00113E72" w:rsidP="000B1CA9">
            <w:pPr>
              <w:pStyle w:val="ListBullet"/>
            </w:pPr>
            <w:hyperlink w:anchor="_Death_–_survivor" w:history="1">
              <w:r w:rsidRPr="000B1CA9">
                <w:rPr>
                  <w:rStyle w:val="Hyperlink"/>
                </w:rPr>
                <w:t xml:space="preserve">Whether to resume payment of survivor pension </w:t>
              </w:r>
              <w:r w:rsidR="00DA35B9" w:rsidRPr="000B1CA9">
                <w:rPr>
                  <w:rStyle w:val="Hyperlink"/>
                </w:rPr>
                <w:t>on end of subsequent relationship (pre</w:t>
              </w:r>
              <w:r w:rsidR="00721703">
                <w:rPr>
                  <w:rStyle w:val="Hyperlink"/>
                </w:rPr>
                <w:t>-</w:t>
              </w:r>
              <w:r w:rsidR="00DA35B9" w:rsidRPr="000B1CA9">
                <w:rPr>
                  <w:rStyle w:val="Hyperlink"/>
                </w:rPr>
                <w:t>April 98 leavers)</w:t>
              </w:r>
            </w:hyperlink>
          </w:p>
        </w:tc>
      </w:tr>
      <w:tr w:rsidR="00D65447" w14:paraId="4F8DFA80" w14:textId="77777777" w:rsidTr="00C80B63">
        <w:trPr>
          <w:cantSplit/>
        </w:trPr>
        <w:tc>
          <w:tcPr>
            <w:tcW w:w="2972" w:type="dxa"/>
          </w:tcPr>
          <w:p w14:paraId="6490635B" w14:textId="6C712B63" w:rsidR="00D65447" w:rsidRPr="00C8014B" w:rsidRDefault="00C8014B" w:rsidP="00DB1B96">
            <w:pPr>
              <w:spacing w:before="0" w:after="0"/>
              <w:rPr>
                <w:bCs/>
              </w:rPr>
            </w:pPr>
            <w:r w:rsidRPr="00C8014B">
              <w:rPr>
                <w:bCs/>
              </w:rPr>
              <w:lastRenderedPageBreak/>
              <w:t>Divorce / dissolution of civil partnership</w:t>
            </w:r>
          </w:p>
        </w:tc>
        <w:tc>
          <w:tcPr>
            <w:tcW w:w="6379" w:type="dxa"/>
          </w:tcPr>
          <w:p w14:paraId="448A2ABD" w14:textId="77777777" w:rsidR="00D65447" w:rsidRDefault="00DB1B96" w:rsidP="004A34E8">
            <w:pPr>
              <w:pStyle w:val="ListBullet"/>
            </w:pPr>
            <w:hyperlink w:anchor="_Divorce_/_dissolution" w:history="1">
              <w:r w:rsidRPr="007E6BC9">
                <w:rPr>
                  <w:rStyle w:val="Hyperlink"/>
                </w:rPr>
                <w:t>How to discharge pension credit liability</w:t>
              </w:r>
            </w:hyperlink>
          </w:p>
          <w:p w14:paraId="33FFA916" w14:textId="77777777" w:rsidR="00C215A6" w:rsidRDefault="004820FC" w:rsidP="004A34E8">
            <w:pPr>
              <w:pStyle w:val="ListBullet"/>
            </w:pPr>
            <w:hyperlink w:anchor="_Divorce_/_dissolution_1" w:history="1">
              <w:r w:rsidRPr="004820FC">
                <w:rPr>
                  <w:rStyle w:val="Hyperlink"/>
                </w:rPr>
                <w:t>When should the valuation day be</w:t>
              </w:r>
            </w:hyperlink>
          </w:p>
          <w:p w14:paraId="1240807D" w14:textId="38CC56C6" w:rsidR="0083336C" w:rsidRDefault="0083336C" w:rsidP="004A34E8">
            <w:pPr>
              <w:pStyle w:val="ListBullet"/>
            </w:pPr>
            <w:hyperlink w:anchor="_Divorce_/_dissolution_2" w:history="1">
              <w:r w:rsidRPr="0083336C">
                <w:rPr>
                  <w:rStyle w:val="Hyperlink"/>
                </w:rPr>
                <w:t>What charges to apply</w:t>
              </w:r>
            </w:hyperlink>
          </w:p>
        </w:tc>
      </w:tr>
      <w:tr w:rsidR="00DB1B96" w14:paraId="0E96597A" w14:textId="77777777" w:rsidTr="00C80B63">
        <w:trPr>
          <w:cantSplit/>
        </w:trPr>
        <w:tc>
          <w:tcPr>
            <w:tcW w:w="2972" w:type="dxa"/>
          </w:tcPr>
          <w:p w14:paraId="46EAB6C7" w14:textId="21980CD0" w:rsidR="00DB1B96" w:rsidRPr="00C8014B" w:rsidRDefault="00A2437F" w:rsidP="00DB1B96">
            <w:pPr>
              <w:spacing w:before="0" w:after="0"/>
              <w:rPr>
                <w:bCs/>
              </w:rPr>
            </w:pPr>
            <w:r>
              <w:rPr>
                <w:bCs/>
              </w:rPr>
              <w:t>Double entitlement</w:t>
            </w:r>
          </w:p>
        </w:tc>
        <w:tc>
          <w:tcPr>
            <w:tcW w:w="6379" w:type="dxa"/>
          </w:tcPr>
          <w:p w14:paraId="3572C257" w14:textId="24915BAF" w:rsidR="00DB1B96" w:rsidRDefault="00DA5889" w:rsidP="004A34E8">
            <w:pPr>
              <w:pStyle w:val="ListBullet"/>
            </w:pPr>
            <w:hyperlink w:anchor="_Double_entitlement" w:history="1">
              <w:r>
                <w:rPr>
                  <w:rStyle w:val="Hyperlink"/>
                </w:rPr>
                <w:t>Under which regulation to pay benefits (post-March 09 leavers)</w:t>
              </w:r>
            </w:hyperlink>
          </w:p>
        </w:tc>
      </w:tr>
      <w:tr w:rsidR="005C60D2" w14:paraId="137D7642" w14:textId="77777777" w:rsidTr="00C80B63">
        <w:trPr>
          <w:cantSplit/>
        </w:trPr>
        <w:tc>
          <w:tcPr>
            <w:tcW w:w="2972" w:type="dxa"/>
          </w:tcPr>
          <w:p w14:paraId="3BC6CC3B" w14:textId="160645FD" w:rsidR="005C60D2" w:rsidRDefault="00267069" w:rsidP="00DB1B96">
            <w:pPr>
              <w:spacing w:before="0" w:after="0"/>
              <w:rPr>
                <w:bCs/>
              </w:rPr>
            </w:pPr>
            <w:r>
              <w:rPr>
                <w:bCs/>
              </w:rPr>
              <w:t>Employee contributions</w:t>
            </w:r>
          </w:p>
        </w:tc>
        <w:tc>
          <w:tcPr>
            <w:tcW w:w="6379" w:type="dxa"/>
          </w:tcPr>
          <w:p w14:paraId="5495D79D" w14:textId="7CA41CA6" w:rsidR="005C60D2" w:rsidRDefault="00267069" w:rsidP="004A34E8">
            <w:pPr>
              <w:pStyle w:val="ListBullet"/>
            </w:pPr>
            <w:hyperlink w:anchor="_Employee_contributions" w:history="1">
              <w:r w:rsidRPr="00F12FA7">
                <w:rPr>
                  <w:rStyle w:val="Hyperlink"/>
                </w:rPr>
                <w:t xml:space="preserve">Whether and how to recover contributions / sums </w:t>
              </w:r>
              <w:r w:rsidR="0003053C" w:rsidRPr="00F12FA7">
                <w:rPr>
                  <w:rStyle w:val="Hyperlink"/>
                </w:rPr>
                <w:t>not deducted by employer from pay</w:t>
              </w:r>
            </w:hyperlink>
          </w:p>
        </w:tc>
      </w:tr>
      <w:tr w:rsidR="007A23F3" w14:paraId="7CB4D11B" w14:textId="77777777" w:rsidTr="00C80B63">
        <w:trPr>
          <w:cantSplit/>
        </w:trPr>
        <w:tc>
          <w:tcPr>
            <w:tcW w:w="2972" w:type="dxa"/>
          </w:tcPr>
          <w:p w14:paraId="059C4755" w14:textId="216E4DF3" w:rsidR="007A23F3" w:rsidRDefault="007A23F3" w:rsidP="00DB1B96">
            <w:pPr>
              <w:spacing w:before="0" w:after="0"/>
              <w:rPr>
                <w:bCs/>
              </w:rPr>
            </w:pPr>
            <w:r>
              <w:rPr>
                <w:bCs/>
              </w:rPr>
              <w:t>Employer contributions</w:t>
            </w:r>
          </w:p>
        </w:tc>
        <w:tc>
          <w:tcPr>
            <w:tcW w:w="6379" w:type="dxa"/>
          </w:tcPr>
          <w:p w14:paraId="26BFEF83" w14:textId="3BE93A57" w:rsidR="007A23F3" w:rsidRDefault="008D67A0" w:rsidP="004A34E8">
            <w:pPr>
              <w:pStyle w:val="ListBullet"/>
            </w:pPr>
            <w:hyperlink w:anchor="_Employer_contributions" w:history="1">
              <w:r w:rsidRPr="00DC26A7">
                <w:rPr>
                  <w:rStyle w:val="Hyperlink"/>
                </w:rPr>
                <w:t xml:space="preserve">Whether to require employers to make </w:t>
              </w:r>
              <w:r w:rsidR="005B6B8E" w:rsidRPr="00DC26A7">
                <w:rPr>
                  <w:rStyle w:val="Hyperlink"/>
                </w:rPr>
                <w:t>pension strain</w:t>
              </w:r>
              <w:r w:rsidRPr="00DC26A7">
                <w:rPr>
                  <w:rStyle w:val="Hyperlink"/>
                </w:rPr>
                <w:t xml:space="preserve"> payments</w:t>
              </w:r>
              <w:r w:rsidR="005B6B8E" w:rsidRPr="00DC26A7">
                <w:rPr>
                  <w:rStyle w:val="Hyperlink"/>
                </w:rPr>
                <w:t xml:space="preserve"> (post</w:t>
              </w:r>
              <w:r w:rsidR="009F66DF">
                <w:rPr>
                  <w:rStyle w:val="Hyperlink"/>
                </w:rPr>
                <w:t>-</w:t>
              </w:r>
              <w:r w:rsidR="005B6B8E" w:rsidRPr="00DC26A7">
                <w:rPr>
                  <w:rStyle w:val="Hyperlink"/>
                </w:rPr>
                <w:t>March 15 leavers)</w:t>
              </w:r>
            </w:hyperlink>
          </w:p>
          <w:p w14:paraId="30BA562A" w14:textId="579D9E11" w:rsidR="00DC26A7" w:rsidRDefault="0068752F" w:rsidP="004A34E8">
            <w:pPr>
              <w:pStyle w:val="ListBullet"/>
            </w:pPr>
            <w:hyperlink w:anchor="_Employer_contributions_1" w:history="1">
              <w:r w:rsidRPr="0068752F">
                <w:rPr>
                  <w:rStyle w:val="Hyperlink"/>
                </w:rPr>
                <w:t>Whether to require employers to make pension strain payments (pre</w:t>
              </w:r>
              <w:r w:rsidR="00721703">
                <w:rPr>
                  <w:rStyle w:val="Hyperlink"/>
                </w:rPr>
                <w:t>-</w:t>
              </w:r>
              <w:r w:rsidRPr="0068752F">
                <w:rPr>
                  <w:rStyle w:val="Hyperlink"/>
                </w:rPr>
                <w:t>April 15 leavers)</w:t>
              </w:r>
            </w:hyperlink>
          </w:p>
          <w:p w14:paraId="72029F03" w14:textId="77777777" w:rsidR="00193CF7" w:rsidRDefault="00193CF7" w:rsidP="004A34E8">
            <w:pPr>
              <w:pStyle w:val="ListBullet"/>
            </w:pPr>
            <w:hyperlink w:anchor="_Employer_contributions_2" w:history="1">
              <w:r w:rsidRPr="00B949FA">
                <w:rPr>
                  <w:rStyle w:val="Hyperlink"/>
                </w:rPr>
                <w:t xml:space="preserve">Whether to review </w:t>
              </w:r>
              <w:r w:rsidR="00B949FA" w:rsidRPr="00B949FA">
                <w:rPr>
                  <w:rStyle w:val="Hyperlink"/>
                </w:rPr>
                <w:t>contribution rate between valuations</w:t>
              </w:r>
            </w:hyperlink>
          </w:p>
          <w:p w14:paraId="076EC8DB" w14:textId="77777777" w:rsidR="00B949FA" w:rsidRDefault="008F3456" w:rsidP="004A34E8">
            <w:pPr>
              <w:pStyle w:val="ListBullet"/>
            </w:pPr>
            <w:hyperlink w:anchor="_Employer_contributions_3" w:history="1">
              <w:r w:rsidRPr="000A736F">
                <w:rPr>
                  <w:rStyle w:val="Hyperlink"/>
                </w:rPr>
                <w:t xml:space="preserve">At which intervals should employers pay </w:t>
              </w:r>
              <w:r w:rsidR="002951E2" w:rsidRPr="000A736F">
                <w:rPr>
                  <w:rStyle w:val="Hyperlink"/>
                </w:rPr>
                <w:t>contributions to the fund</w:t>
              </w:r>
            </w:hyperlink>
          </w:p>
          <w:p w14:paraId="7601278F" w14:textId="77777777" w:rsidR="000A736F" w:rsidRDefault="00AE7014" w:rsidP="004A34E8">
            <w:pPr>
              <w:pStyle w:val="ListBullet"/>
            </w:pPr>
            <w:hyperlink w:anchor="_Employer_contributions_4" w:history="1">
              <w:r w:rsidRPr="00AE7014">
                <w:rPr>
                  <w:rStyle w:val="Hyperlink"/>
                </w:rPr>
                <w:t xml:space="preserve">In what </w:t>
              </w:r>
              <w:r w:rsidR="00CD112F" w:rsidRPr="00AE7014">
                <w:rPr>
                  <w:rStyle w:val="Hyperlink"/>
                </w:rPr>
                <w:t xml:space="preserve">form and </w:t>
              </w:r>
              <w:r w:rsidRPr="00AE7014">
                <w:rPr>
                  <w:rStyle w:val="Hyperlink"/>
                </w:rPr>
                <w:t xml:space="preserve">at </w:t>
              </w:r>
              <w:r w:rsidR="00CD112F" w:rsidRPr="00AE7014">
                <w:rPr>
                  <w:rStyle w:val="Hyperlink"/>
                </w:rPr>
                <w:t xml:space="preserve">which intervals </w:t>
              </w:r>
              <w:r w:rsidRPr="00AE7014">
                <w:rPr>
                  <w:rStyle w:val="Hyperlink"/>
                </w:rPr>
                <w:t>should employers give the information accompanying contribution payments</w:t>
              </w:r>
            </w:hyperlink>
          </w:p>
          <w:p w14:paraId="65DECB34" w14:textId="77777777" w:rsidR="00AE7014" w:rsidRDefault="00114EC1" w:rsidP="004A34E8">
            <w:pPr>
              <w:pStyle w:val="ListBullet"/>
            </w:pPr>
            <w:hyperlink w:anchor="_Employer_contributions_5" w:history="1">
              <w:r w:rsidRPr="00A453ED">
                <w:rPr>
                  <w:rStyle w:val="Hyperlink"/>
                </w:rPr>
                <w:t>Whether to recover additional costs from employers inc</w:t>
              </w:r>
              <w:r w:rsidR="003721DD" w:rsidRPr="00A453ED">
                <w:rPr>
                  <w:rStyle w:val="Hyperlink"/>
                </w:rPr>
                <w:t>urred because of their performance levels when carrying out LGPS functions</w:t>
              </w:r>
            </w:hyperlink>
          </w:p>
          <w:p w14:paraId="108AA0BC" w14:textId="77777777" w:rsidR="00AD11C5" w:rsidRDefault="00AD11C5" w:rsidP="004A34E8">
            <w:pPr>
              <w:pStyle w:val="ListBullet"/>
            </w:pPr>
            <w:hyperlink w:anchor="_Employer_contributions_6" w:history="1">
              <w:r w:rsidRPr="00AD11C5">
                <w:rPr>
                  <w:rStyle w:val="Hyperlink"/>
                </w:rPr>
                <w:t>Whether to require employers to pay interest on late payments</w:t>
              </w:r>
            </w:hyperlink>
          </w:p>
          <w:p w14:paraId="57694625" w14:textId="1540B1E7" w:rsidR="00DF468B" w:rsidRDefault="0015536B" w:rsidP="004A34E8">
            <w:pPr>
              <w:pStyle w:val="ListBullet"/>
            </w:pPr>
            <w:hyperlink w:anchor="_Employer_contributions_7" w:history="1">
              <w:r w:rsidRPr="0015536B">
                <w:rPr>
                  <w:rStyle w:val="Hyperlink"/>
                </w:rPr>
                <w:t>What intervals at which employers must reimburse cost of pensions increase</w:t>
              </w:r>
            </w:hyperlink>
          </w:p>
        </w:tc>
      </w:tr>
      <w:tr w:rsidR="00E37428" w14:paraId="54859E6E" w14:textId="77777777" w:rsidTr="00C80B63">
        <w:trPr>
          <w:cantSplit/>
        </w:trPr>
        <w:tc>
          <w:tcPr>
            <w:tcW w:w="2972" w:type="dxa"/>
          </w:tcPr>
          <w:p w14:paraId="50844BE5" w14:textId="0B539631" w:rsidR="00E37428" w:rsidRDefault="00622047" w:rsidP="00DB1B96">
            <w:pPr>
              <w:spacing w:before="0" w:after="0"/>
              <w:rPr>
                <w:bCs/>
              </w:rPr>
            </w:pPr>
            <w:r>
              <w:rPr>
                <w:bCs/>
              </w:rPr>
              <w:t>Employer discretions (employer no longer participates in the LGPS)</w:t>
            </w:r>
          </w:p>
        </w:tc>
        <w:tc>
          <w:tcPr>
            <w:tcW w:w="6379" w:type="dxa"/>
          </w:tcPr>
          <w:p w14:paraId="00376552" w14:textId="777703D7" w:rsidR="00E37428" w:rsidRDefault="00F827C5" w:rsidP="004A34E8">
            <w:pPr>
              <w:pStyle w:val="ListBullet"/>
            </w:pPr>
            <w:hyperlink w:anchor="_Employer_discretion_(retirement" w:history="1">
              <w:r>
                <w:rPr>
                  <w:rStyle w:val="Hyperlink"/>
                </w:rPr>
                <w:t>Whether to treat election for early payment under the 2008 Benefit Regulations (deferred members who left between 1 April 09 and 31 March 15)</w:t>
              </w:r>
            </w:hyperlink>
          </w:p>
          <w:p w14:paraId="2B9D0C7B" w14:textId="77777777" w:rsidR="00F1068E" w:rsidRDefault="00FA696B" w:rsidP="004A34E8">
            <w:pPr>
              <w:pStyle w:val="ListBullet"/>
            </w:pPr>
            <w:hyperlink w:anchor="_Employer_discretion_(retirement_1" w:history="1">
              <w:r w:rsidRPr="00A759E1">
                <w:rPr>
                  <w:rStyle w:val="Hyperlink"/>
                </w:rPr>
                <w:t xml:space="preserve">Whether to agree to waive early payment reductions </w:t>
              </w:r>
              <w:r w:rsidR="00F827C5" w:rsidRPr="00A759E1">
                <w:rPr>
                  <w:rStyle w:val="Hyperlink"/>
                </w:rPr>
                <w:t>(deferred members who left after March 15)</w:t>
              </w:r>
            </w:hyperlink>
          </w:p>
          <w:p w14:paraId="77E26FE0" w14:textId="391DC53A" w:rsidR="008D467D" w:rsidRDefault="00D24D33" w:rsidP="004A34E8">
            <w:pPr>
              <w:pStyle w:val="ListBullet"/>
            </w:pPr>
            <w:hyperlink w:anchor="_Employer_discretion_(retirement_2" w:history="1">
              <w:r w:rsidRPr="00272B0F">
                <w:rPr>
                  <w:rStyle w:val="Hyperlink"/>
                </w:rPr>
                <w:t xml:space="preserve">Whether to use </w:t>
              </w:r>
              <w:r w:rsidR="00EC21BC">
                <w:rPr>
                  <w:rStyle w:val="Hyperlink"/>
                </w:rPr>
                <w:t xml:space="preserve">the </w:t>
              </w:r>
              <w:r w:rsidRPr="00272B0F">
                <w:rPr>
                  <w:rStyle w:val="Hyperlink"/>
                </w:rPr>
                <w:t>actual date the member satisfied the rule of 85 (</w:t>
              </w:r>
              <w:r w:rsidR="00272B0F" w:rsidRPr="00272B0F">
                <w:rPr>
                  <w:rStyle w:val="Hyperlink"/>
                </w:rPr>
                <w:t>deferred members who left after March 15)</w:t>
              </w:r>
            </w:hyperlink>
          </w:p>
          <w:p w14:paraId="7E606EBF" w14:textId="0EDA1573" w:rsidR="00601DFC" w:rsidRDefault="004350C6" w:rsidP="004A34E8">
            <w:pPr>
              <w:pStyle w:val="ListBullet"/>
            </w:pPr>
            <w:hyperlink w:anchor="_Employer_discretion_(retirement_3" w:history="1">
              <w:r w:rsidRPr="00FE4942">
                <w:rPr>
                  <w:rStyle w:val="Hyperlink"/>
                </w:rPr>
                <w:t>Whether to agree to waive early payment reductions (</w:t>
              </w:r>
              <w:r w:rsidR="00FE4942" w:rsidRPr="00FE4942">
                <w:rPr>
                  <w:rStyle w:val="Hyperlink"/>
                </w:rPr>
                <w:t>deferred members who left between 1 April 09 and 31 March 15)</w:t>
              </w:r>
            </w:hyperlink>
          </w:p>
        </w:tc>
      </w:tr>
      <w:tr w:rsidR="008D467D" w14:paraId="10B3932C" w14:textId="77777777" w:rsidTr="00C80B63">
        <w:trPr>
          <w:cantSplit/>
        </w:trPr>
        <w:tc>
          <w:tcPr>
            <w:tcW w:w="2972" w:type="dxa"/>
          </w:tcPr>
          <w:p w14:paraId="34467A1C" w14:textId="54A4853D" w:rsidR="008D467D" w:rsidRDefault="008F5162" w:rsidP="00DB1B96">
            <w:pPr>
              <w:spacing w:before="0" w:after="0"/>
              <w:rPr>
                <w:bCs/>
              </w:rPr>
            </w:pPr>
            <w:r>
              <w:rPr>
                <w:bCs/>
              </w:rPr>
              <w:lastRenderedPageBreak/>
              <w:t>Exchange of information</w:t>
            </w:r>
          </w:p>
        </w:tc>
        <w:tc>
          <w:tcPr>
            <w:tcW w:w="6379" w:type="dxa"/>
          </w:tcPr>
          <w:p w14:paraId="0EC75925" w14:textId="390212FA" w:rsidR="008D467D" w:rsidRDefault="008F5162" w:rsidP="004A34E8">
            <w:pPr>
              <w:pStyle w:val="ListBullet"/>
            </w:pPr>
            <w:hyperlink w:anchor="_Exchange_of_information" w:history="1">
              <w:r w:rsidRPr="00186B15">
                <w:rPr>
                  <w:rStyle w:val="Hyperlink"/>
                </w:rPr>
                <w:t>What information is needed from employers to</w:t>
              </w:r>
              <w:r w:rsidR="004B5DE6" w:rsidRPr="00186B15">
                <w:rPr>
                  <w:rStyle w:val="Hyperlink"/>
                </w:rPr>
                <w:t xml:space="preserve"> enable administering authority to discharge their LGPS functions</w:t>
              </w:r>
            </w:hyperlink>
          </w:p>
        </w:tc>
      </w:tr>
      <w:tr w:rsidR="00A959F9" w14:paraId="36BC7BC1" w14:textId="77777777" w:rsidTr="00C80B63">
        <w:trPr>
          <w:cantSplit/>
        </w:trPr>
        <w:tc>
          <w:tcPr>
            <w:tcW w:w="2972" w:type="dxa"/>
          </w:tcPr>
          <w:p w14:paraId="53A33307" w14:textId="5AA796C8" w:rsidR="00A959F9" w:rsidRDefault="00A959F9" w:rsidP="00DB1B96">
            <w:pPr>
              <w:spacing w:before="0" w:after="0"/>
              <w:rPr>
                <w:bCs/>
              </w:rPr>
            </w:pPr>
            <w:r>
              <w:rPr>
                <w:bCs/>
              </w:rPr>
              <w:t>Exiting employer</w:t>
            </w:r>
            <w:r w:rsidR="00376A72">
              <w:rPr>
                <w:bCs/>
              </w:rPr>
              <w:t>s</w:t>
            </w:r>
          </w:p>
        </w:tc>
        <w:tc>
          <w:tcPr>
            <w:tcW w:w="6379" w:type="dxa"/>
          </w:tcPr>
          <w:p w14:paraId="2AEF4D4C" w14:textId="77777777" w:rsidR="00C20C7D" w:rsidRDefault="00A959F9" w:rsidP="00560BD0">
            <w:pPr>
              <w:pStyle w:val="ListBullet"/>
            </w:pPr>
            <w:hyperlink w:anchor="_Exiting_employer" w:history="1">
              <w:r w:rsidRPr="00D4569D">
                <w:rPr>
                  <w:rStyle w:val="Hyperlink"/>
                </w:rPr>
                <w:t>Whether to require employer to pay exit payment</w:t>
              </w:r>
              <w:r w:rsidR="00E55222" w:rsidRPr="00D4569D">
                <w:rPr>
                  <w:rStyle w:val="Hyperlink"/>
                </w:rPr>
                <w:t xml:space="preserve"> or whether to suspend or defer that liability</w:t>
              </w:r>
            </w:hyperlink>
          </w:p>
          <w:p w14:paraId="21C7A816" w14:textId="77777777" w:rsidR="00560BD0" w:rsidRDefault="00560BD0" w:rsidP="00560BD0">
            <w:pPr>
              <w:pStyle w:val="ListBullet"/>
            </w:pPr>
            <w:hyperlink w:anchor="_Exiting_employer_1" w:history="1">
              <w:r w:rsidRPr="00560BD0">
                <w:rPr>
                  <w:rStyle w:val="Hyperlink"/>
                </w:rPr>
                <w:t>Over what period to require the employer to pay the exit payment or whether to allow it to be paid in instalments</w:t>
              </w:r>
            </w:hyperlink>
          </w:p>
          <w:p w14:paraId="65F50B16" w14:textId="77777777" w:rsidR="003C414E" w:rsidRDefault="00BC132C" w:rsidP="00560BD0">
            <w:pPr>
              <w:pStyle w:val="ListBullet"/>
            </w:pPr>
            <w:hyperlink w:anchor="_Exiting_employer_2" w:history="1">
              <w:r w:rsidRPr="00BC132C">
                <w:rPr>
                  <w:rStyle w:val="Hyperlink"/>
                </w:rPr>
                <w:t>What exit credit to pay</w:t>
              </w:r>
            </w:hyperlink>
          </w:p>
          <w:p w14:paraId="739C363A" w14:textId="77777777" w:rsidR="0071252E" w:rsidRDefault="00672A51" w:rsidP="0071252E">
            <w:pPr>
              <w:pStyle w:val="ListBullet"/>
            </w:pPr>
            <w:hyperlink w:anchor="_Exiting_employer_3" w:history="1">
              <w:r w:rsidRPr="00672A51">
                <w:rPr>
                  <w:rStyle w:val="Hyperlink"/>
                </w:rPr>
                <w:t>Whether to obtain a revised rates and adjustment certificate for an employer likely to become an exiting employer</w:t>
              </w:r>
            </w:hyperlink>
          </w:p>
          <w:p w14:paraId="36E97F11" w14:textId="6D57CD7D" w:rsidR="0071252E" w:rsidRDefault="00746630" w:rsidP="0071252E">
            <w:pPr>
              <w:pStyle w:val="ListBullet"/>
            </w:pPr>
            <w:hyperlink w:anchor="_Exiting_employer_4" w:history="1">
              <w:r w:rsidRPr="00874A6F">
                <w:rPr>
                  <w:rStyle w:val="Hyperlink"/>
                </w:rPr>
                <w:t xml:space="preserve">Whether to </w:t>
              </w:r>
              <w:r w:rsidR="009B5842" w:rsidRPr="00874A6F">
                <w:rPr>
                  <w:rStyle w:val="Hyperlink"/>
                </w:rPr>
                <w:t xml:space="preserve">require a former LGPS employer to make payments certified by an actuary to meet </w:t>
              </w:r>
              <w:r w:rsidR="00874A6F" w:rsidRPr="00874A6F">
                <w:rPr>
                  <w:rStyle w:val="Hyperlink"/>
                </w:rPr>
                <w:t>outstanding liabilities</w:t>
              </w:r>
            </w:hyperlink>
          </w:p>
        </w:tc>
      </w:tr>
      <w:tr w:rsidR="00C20C7D" w14:paraId="0BF18A09" w14:textId="77777777" w:rsidTr="00C80B63">
        <w:trPr>
          <w:cantSplit/>
        </w:trPr>
        <w:tc>
          <w:tcPr>
            <w:tcW w:w="2972" w:type="dxa"/>
          </w:tcPr>
          <w:p w14:paraId="4C40D83A" w14:textId="57B463FC" w:rsidR="00C20C7D" w:rsidRDefault="00B8289B" w:rsidP="00DB1B96">
            <w:pPr>
              <w:spacing w:before="0" w:after="0"/>
              <w:rPr>
                <w:bCs/>
              </w:rPr>
            </w:pPr>
            <w:r>
              <w:rPr>
                <w:bCs/>
              </w:rPr>
              <w:t>Fund strategy</w:t>
            </w:r>
          </w:p>
        </w:tc>
        <w:tc>
          <w:tcPr>
            <w:tcW w:w="6379" w:type="dxa"/>
          </w:tcPr>
          <w:p w14:paraId="6EB40A06" w14:textId="0D84BB00" w:rsidR="00C20C7D" w:rsidRDefault="004240B1" w:rsidP="004A34E8">
            <w:pPr>
              <w:pStyle w:val="ListBullet"/>
            </w:pPr>
            <w:hyperlink w:anchor="_Funding_strategy" w:history="1">
              <w:r w:rsidRPr="004240B1">
                <w:rPr>
                  <w:rStyle w:val="Hyperlink"/>
                </w:rPr>
                <w:t>What is the administering authority’s funding strategy</w:t>
              </w:r>
            </w:hyperlink>
          </w:p>
        </w:tc>
      </w:tr>
      <w:tr w:rsidR="00264F43" w14:paraId="187B497A" w14:textId="77777777" w:rsidTr="00C80B63">
        <w:trPr>
          <w:cantSplit/>
        </w:trPr>
        <w:tc>
          <w:tcPr>
            <w:tcW w:w="2972" w:type="dxa"/>
          </w:tcPr>
          <w:p w14:paraId="4B7BA9CD" w14:textId="03E2AE16" w:rsidR="00264F43" w:rsidRDefault="00B44DFA" w:rsidP="00DB1B96">
            <w:pPr>
              <w:spacing w:before="0" w:after="0"/>
              <w:rPr>
                <w:bCs/>
              </w:rPr>
            </w:pPr>
            <w:r>
              <w:rPr>
                <w:bCs/>
              </w:rPr>
              <w:t>Fund substitution</w:t>
            </w:r>
          </w:p>
        </w:tc>
        <w:tc>
          <w:tcPr>
            <w:tcW w:w="6379" w:type="dxa"/>
          </w:tcPr>
          <w:p w14:paraId="622DF776" w14:textId="0D46C0F6" w:rsidR="00264F43" w:rsidRDefault="00B44DFA" w:rsidP="004A34E8">
            <w:pPr>
              <w:pStyle w:val="ListBullet"/>
            </w:pPr>
            <w:hyperlink w:anchor="_Fund_substitution" w:history="1">
              <w:r w:rsidRPr="00776F75">
                <w:rPr>
                  <w:rStyle w:val="Hyperlink"/>
                </w:rPr>
                <w:t>Whether to apply to Scottish Ministers to change an employer’s relevant fund to the administering authority’s</w:t>
              </w:r>
            </w:hyperlink>
          </w:p>
        </w:tc>
      </w:tr>
      <w:tr w:rsidR="004E3838" w14:paraId="0510FB6B" w14:textId="77777777" w:rsidTr="00C80B63">
        <w:trPr>
          <w:cantSplit/>
        </w:trPr>
        <w:tc>
          <w:tcPr>
            <w:tcW w:w="2972" w:type="dxa"/>
          </w:tcPr>
          <w:p w14:paraId="0C4FBD1D" w14:textId="61BB854D" w:rsidR="004E3838" w:rsidRDefault="004E3838" w:rsidP="00DB1B96">
            <w:pPr>
              <w:spacing w:before="0" w:after="0"/>
              <w:rPr>
                <w:bCs/>
              </w:rPr>
            </w:pPr>
            <w:r>
              <w:rPr>
                <w:bCs/>
              </w:rPr>
              <w:t>Governance compliance statement</w:t>
            </w:r>
          </w:p>
        </w:tc>
        <w:tc>
          <w:tcPr>
            <w:tcW w:w="6379" w:type="dxa"/>
          </w:tcPr>
          <w:p w14:paraId="6A16BB01" w14:textId="2EC735E1" w:rsidR="004E3838" w:rsidRDefault="004E3838" w:rsidP="004A34E8">
            <w:pPr>
              <w:pStyle w:val="ListBullet"/>
            </w:pPr>
            <w:hyperlink w:anchor="_Governance_compliance_statement" w:history="1">
              <w:r w:rsidRPr="004E3838">
                <w:rPr>
                  <w:rStyle w:val="Hyperlink"/>
                </w:rPr>
                <w:t>Whether to delegate LGPS functions, or part of them, to a committee, sub-committee or an officer of the administering authority</w:t>
              </w:r>
            </w:hyperlink>
          </w:p>
        </w:tc>
      </w:tr>
      <w:tr w:rsidR="00516A3D" w14:paraId="52100DC5" w14:textId="77777777" w:rsidTr="00C80B63">
        <w:trPr>
          <w:cantSplit/>
        </w:trPr>
        <w:tc>
          <w:tcPr>
            <w:tcW w:w="2972" w:type="dxa"/>
          </w:tcPr>
          <w:p w14:paraId="5A425C42" w14:textId="24E06F55" w:rsidR="00516A3D" w:rsidRDefault="001C1B71" w:rsidP="00DB1B96">
            <w:pPr>
              <w:spacing w:before="0" w:after="0"/>
              <w:rPr>
                <w:bCs/>
              </w:rPr>
            </w:pPr>
            <w:r>
              <w:rPr>
                <w:bCs/>
              </w:rPr>
              <w:t>McCloud compensation</w:t>
            </w:r>
          </w:p>
        </w:tc>
        <w:tc>
          <w:tcPr>
            <w:tcW w:w="6379" w:type="dxa"/>
          </w:tcPr>
          <w:p w14:paraId="3A16934B" w14:textId="77777777" w:rsidR="00516A3D" w:rsidRDefault="001C1B71" w:rsidP="004A34E8">
            <w:pPr>
              <w:pStyle w:val="ListBullet"/>
            </w:pPr>
            <w:hyperlink w:anchor="_McCloud_compensation" w:history="1">
              <w:r w:rsidRPr="001C1B71">
                <w:rPr>
                  <w:rStyle w:val="Hyperlink"/>
                </w:rPr>
                <w:t>Whether to pay indirect compensation</w:t>
              </w:r>
            </w:hyperlink>
          </w:p>
          <w:p w14:paraId="3EDA26D2" w14:textId="680A174E" w:rsidR="001C1B71" w:rsidRDefault="00110BE1" w:rsidP="004A34E8">
            <w:pPr>
              <w:pStyle w:val="ListBullet"/>
            </w:pPr>
            <w:hyperlink w:anchor="_McCloud_compensation_1" w:history="1">
              <w:r w:rsidRPr="00110BE1">
                <w:rPr>
                  <w:rStyle w:val="Hyperlink"/>
                </w:rPr>
                <w:t>Whether to pay direct compensation</w:t>
              </w:r>
            </w:hyperlink>
          </w:p>
        </w:tc>
      </w:tr>
      <w:tr w:rsidR="00110BE1" w14:paraId="7F412EEC" w14:textId="77777777" w:rsidTr="00C80B63">
        <w:trPr>
          <w:cantSplit/>
        </w:trPr>
        <w:tc>
          <w:tcPr>
            <w:tcW w:w="2972" w:type="dxa"/>
          </w:tcPr>
          <w:p w14:paraId="079C9340" w14:textId="019E32E4" w:rsidR="00110BE1" w:rsidRDefault="007E678A" w:rsidP="00DB1B96">
            <w:pPr>
              <w:spacing w:before="0" w:after="0"/>
              <w:rPr>
                <w:bCs/>
              </w:rPr>
            </w:pPr>
            <w:r>
              <w:rPr>
                <w:bCs/>
              </w:rPr>
              <w:t>Pension administration strategy</w:t>
            </w:r>
          </w:p>
        </w:tc>
        <w:tc>
          <w:tcPr>
            <w:tcW w:w="6379" w:type="dxa"/>
          </w:tcPr>
          <w:p w14:paraId="1CC9A810" w14:textId="51DE1D0A" w:rsidR="00110BE1" w:rsidRDefault="007E678A" w:rsidP="004A34E8">
            <w:pPr>
              <w:pStyle w:val="ListBullet"/>
            </w:pPr>
            <w:hyperlink w:anchor="_Pension_administration_strategy" w:history="1">
              <w:r w:rsidRPr="007E678A">
                <w:rPr>
                  <w:rStyle w:val="Hyperlink"/>
                </w:rPr>
                <w:t>Whether to have a strategy and, if so, the matters it should include</w:t>
              </w:r>
            </w:hyperlink>
          </w:p>
        </w:tc>
      </w:tr>
      <w:tr w:rsidR="00315A59" w14:paraId="29ABE59B" w14:textId="77777777" w:rsidTr="00C80B63">
        <w:trPr>
          <w:cantSplit/>
        </w:trPr>
        <w:tc>
          <w:tcPr>
            <w:tcW w:w="2972" w:type="dxa"/>
          </w:tcPr>
          <w:p w14:paraId="6E863CA3" w14:textId="278CFE2A" w:rsidR="00315A59" w:rsidRDefault="00315A59" w:rsidP="00DB1B96">
            <w:pPr>
              <w:spacing w:before="0" w:after="0"/>
              <w:rPr>
                <w:bCs/>
              </w:rPr>
            </w:pPr>
            <w:r>
              <w:rPr>
                <w:bCs/>
              </w:rPr>
              <w:t>Pension accounts</w:t>
            </w:r>
          </w:p>
        </w:tc>
        <w:tc>
          <w:tcPr>
            <w:tcW w:w="6379" w:type="dxa"/>
          </w:tcPr>
          <w:p w14:paraId="2ED12CAE" w14:textId="0EF2AEF7" w:rsidR="00315A59" w:rsidRDefault="00315A59" w:rsidP="004A34E8">
            <w:pPr>
              <w:pStyle w:val="ListBullet"/>
            </w:pPr>
            <w:hyperlink w:anchor="_Pension_accounts" w:history="1">
              <w:r w:rsidRPr="00527836">
                <w:rPr>
                  <w:rStyle w:val="Hyperlink"/>
                </w:rPr>
                <w:t xml:space="preserve">In what form to record CARE </w:t>
              </w:r>
              <w:r w:rsidR="00527836" w:rsidRPr="00527836">
                <w:rPr>
                  <w:rStyle w:val="Hyperlink"/>
                </w:rPr>
                <w:t>accounts</w:t>
              </w:r>
            </w:hyperlink>
          </w:p>
        </w:tc>
      </w:tr>
      <w:tr w:rsidR="00C30D18" w14:paraId="3AE97948" w14:textId="77777777" w:rsidTr="00C80B63">
        <w:trPr>
          <w:cantSplit/>
        </w:trPr>
        <w:tc>
          <w:tcPr>
            <w:tcW w:w="2972" w:type="dxa"/>
          </w:tcPr>
          <w:p w14:paraId="2E8008DA" w14:textId="62316C57" w:rsidR="00C30D18" w:rsidRDefault="00C30D18" w:rsidP="00DB1B96">
            <w:pPr>
              <w:spacing w:before="0" w:after="0"/>
              <w:rPr>
                <w:bCs/>
              </w:rPr>
            </w:pPr>
            <w:r>
              <w:rPr>
                <w:bCs/>
              </w:rPr>
              <w:t>Person incapable of managing their affairs</w:t>
            </w:r>
          </w:p>
        </w:tc>
        <w:tc>
          <w:tcPr>
            <w:tcW w:w="6379" w:type="dxa"/>
          </w:tcPr>
          <w:p w14:paraId="00E060AD" w14:textId="37E668A6" w:rsidR="00C30D18" w:rsidRDefault="00A00B2D" w:rsidP="004A34E8">
            <w:pPr>
              <w:pStyle w:val="ListBullet"/>
            </w:pPr>
            <w:hyperlink w:anchor="_Person_incapable_of" w:history="1">
              <w:r w:rsidRPr="00CA60B1">
                <w:rPr>
                  <w:rStyle w:val="Hyperlink"/>
                </w:rPr>
                <w:t xml:space="preserve">How to pay </w:t>
              </w:r>
              <w:r w:rsidR="00CA60B1" w:rsidRPr="00CA60B1">
                <w:rPr>
                  <w:rStyle w:val="Hyperlink"/>
                </w:rPr>
                <w:t xml:space="preserve">2015 Scheme </w:t>
              </w:r>
              <w:r w:rsidRPr="00CA60B1">
                <w:rPr>
                  <w:rStyle w:val="Hyperlink"/>
                </w:rPr>
                <w:t>benefits in respect of a person who is incap</w:t>
              </w:r>
              <w:r w:rsidR="00CA60B1" w:rsidRPr="00CA60B1">
                <w:rPr>
                  <w:rStyle w:val="Hyperlink"/>
                </w:rPr>
                <w:t>acitated</w:t>
              </w:r>
            </w:hyperlink>
          </w:p>
        </w:tc>
      </w:tr>
      <w:tr w:rsidR="00B37019" w14:paraId="429922A5" w14:textId="77777777" w:rsidTr="00C80B63">
        <w:trPr>
          <w:cantSplit/>
        </w:trPr>
        <w:tc>
          <w:tcPr>
            <w:tcW w:w="2972" w:type="dxa"/>
          </w:tcPr>
          <w:p w14:paraId="7E298184" w14:textId="2FBBD344" w:rsidR="00B37019" w:rsidRDefault="00503721" w:rsidP="00DB1B96">
            <w:pPr>
              <w:spacing w:before="0" w:after="0"/>
              <w:rPr>
                <w:bCs/>
              </w:rPr>
            </w:pPr>
            <w:r>
              <w:rPr>
                <w:bCs/>
              </w:rPr>
              <w:lastRenderedPageBreak/>
              <w:t>Retirement</w:t>
            </w:r>
          </w:p>
        </w:tc>
        <w:tc>
          <w:tcPr>
            <w:tcW w:w="6379" w:type="dxa"/>
          </w:tcPr>
          <w:p w14:paraId="63C627E6" w14:textId="77777777" w:rsidR="00B37019" w:rsidRDefault="00CE0D05" w:rsidP="004A34E8">
            <w:pPr>
              <w:pStyle w:val="ListBullet"/>
            </w:pPr>
            <w:hyperlink w:anchor="_Retirement_-_flexible" w:history="1">
              <w:r>
                <w:rPr>
                  <w:rStyle w:val="Hyperlink"/>
                </w:rPr>
                <w:t>Whether to amend time limit for flexible retirement elections</w:t>
              </w:r>
            </w:hyperlink>
          </w:p>
          <w:p w14:paraId="6B26C9F6" w14:textId="79A58581" w:rsidR="00CE0D05" w:rsidRDefault="00134D62" w:rsidP="004A34E8">
            <w:pPr>
              <w:pStyle w:val="ListBullet"/>
            </w:pPr>
            <w:hyperlink w:anchor="_Retirement_-_ill" w:history="1">
              <w:r w:rsidRPr="00134D62">
                <w:rPr>
                  <w:rStyle w:val="Hyperlink"/>
                </w:rPr>
                <w:t>Whether to approve employer’s choice of independent registered medical practitioner</w:t>
              </w:r>
            </w:hyperlink>
          </w:p>
          <w:p w14:paraId="68E837F7" w14:textId="2C235297" w:rsidR="00134D62" w:rsidRDefault="00692649" w:rsidP="004A34E8">
            <w:pPr>
              <w:pStyle w:val="ListBullet"/>
            </w:pPr>
            <w:hyperlink w:anchor="_Retirement_-_ill_1" w:history="1">
              <w:r>
                <w:rPr>
                  <w:rStyle w:val="Hyperlink"/>
                </w:rPr>
                <w:t>Whether to agree to early payment on ill health (deferred members who left after 31 March 2009)</w:t>
              </w:r>
            </w:hyperlink>
          </w:p>
          <w:p w14:paraId="0E5658B2" w14:textId="48C0C3C3" w:rsidR="006851CB" w:rsidRDefault="00364D17" w:rsidP="004A34E8">
            <w:pPr>
              <w:pStyle w:val="ListBullet"/>
            </w:pPr>
            <w:hyperlink w:anchor="_Retirement_-_voluntary" w:history="1">
              <w:r w:rsidRPr="00EA2E8F">
                <w:rPr>
                  <w:rStyle w:val="Hyperlink"/>
                </w:rPr>
                <w:t>Whether to amend time limit for voluntary retirement elections</w:t>
              </w:r>
              <w:r w:rsidR="00EA2E8F" w:rsidRPr="00EA2E8F">
                <w:rPr>
                  <w:rStyle w:val="Hyperlink"/>
                </w:rPr>
                <w:t xml:space="preserve"> (post</w:t>
              </w:r>
              <w:r w:rsidR="009F66DF">
                <w:rPr>
                  <w:rStyle w:val="Hyperlink"/>
                </w:rPr>
                <w:t>-</w:t>
              </w:r>
              <w:r w:rsidR="00EA2E8F" w:rsidRPr="00EA2E8F">
                <w:rPr>
                  <w:rStyle w:val="Hyperlink"/>
                </w:rPr>
                <w:t>March 15 leavers)</w:t>
              </w:r>
            </w:hyperlink>
          </w:p>
          <w:p w14:paraId="0AB98068" w14:textId="77777777" w:rsidR="00EA2E8F" w:rsidRDefault="001B6485" w:rsidP="004A34E8">
            <w:pPr>
              <w:pStyle w:val="ListBullet"/>
            </w:pPr>
            <w:hyperlink w:anchor="_Retirement_–_voluntary" w:history="1">
              <w:r w:rsidRPr="001B6485">
                <w:rPr>
                  <w:rStyle w:val="Hyperlink"/>
                </w:rPr>
                <w:t>Whether to amend time limit for voluntary retirement elections (pension credit members under the 2015 Scheme)</w:t>
              </w:r>
            </w:hyperlink>
          </w:p>
          <w:p w14:paraId="702ECE0D" w14:textId="77777777" w:rsidR="001B6485" w:rsidRDefault="00104C3F" w:rsidP="004A34E8">
            <w:pPr>
              <w:pStyle w:val="ListBullet"/>
            </w:pPr>
            <w:hyperlink w:anchor="_Retirement_-_voluntary_1" w:history="1">
              <w:r w:rsidRPr="00104C3F">
                <w:rPr>
                  <w:rStyle w:val="Hyperlink"/>
                </w:rPr>
                <w:t>Whether to amend time limit for voluntary retirement elections (deferred members who left between 1 April 09 and 31 March 15)</w:t>
              </w:r>
            </w:hyperlink>
          </w:p>
          <w:p w14:paraId="6CA10397" w14:textId="77777777" w:rsidR="00E6475E" w:rsidRDefault="005B2C6B" w:rsidP="00E6475E">
            <w:pPr>
              <w:pStyle w:val="ListBullet"/>
            </w:pPr>
            <w:hyperlink w:anchor="_Retirement_–_serious" w:history="1">
              <w:r w:rsidRPr="00E6475E">
                <w:rPr>
                  <w:rStyle w:val="Hyperlink"/>
                </w:rPr>
                <w:t xml:space="preserve">Whether to commute </w:t>
              </w:r>
              <w:r w:rsidR="00E6475E" w:rsidRPr="00E6475E">
                <w:rPr>
                  <w:rStyle w:val="Hyperlink"/>
                </w:rPr>
                <w:t>annual pension into a serious ill health lump sum (deferred members who left before April 15)</w:t>
              </w:r>
            </w:hyperlink>
          </w:p>
          <w:p w14:paraId="195A91D4" w14:textId="59866196" w:rsidR="00E6475E" w:rsidRDefault="005F4B74" w:rsidP="00E6475E">
            <w:pPr>
              <w:pStyle w:val="ListBullet"/>
            </w:pPr>
            <w:hyperlink w:anchor="_Retirement_–_serious_1" w:history="1">
              <w:r w:rsidRPr="005F4B74">
                <w:rPr>
                  <w:rStyle w:val="Hyperlink"/>
                </w:rPr>
                <w:t>Whether to commute annual pension into a serious ill health lump sum (pension credit members under the 1998 and 2009 Schemes)</w:t>
              </w:r>
            </w:hyperlink>
          </w:p>
        </w:tc>
      </w:tr>
      <w:tr w:rsidR="00F637FA" w14:paraId="50BF6175" w14:textId="77777777" w:rsidTr="00C80B63">
        <w:trPr>
          <w:cantSplit/>
        </w:trPr>
        <w:tc>
          <w:tcPr>
            <w:tcW w:w="2972" w:type="dxa"/>
          </w:tcPr>
          <w:p w14:paraId="14436D15" w14:textId="1F4238AF" w:rsidR="00F637FA" w:rsidRDefault="00353B50" w:rsidP="00DB1B96">
            <w:pPr>
              <w:spacing w:before="0" w:after="0"/>
              <w:rPr>
                <w:bCs/>
              </w:rPr>
            </w:pPr>
            <w:r>
              <w:rPr>
                <w:bCs/>
              </w:rPr>
              <w:t>Transfers</w:t>
            </w:r>
          </w:p>
        </w:tc>
        <w:tc>
          <w:tcPr>
            <w:tcW w:w="6379" w:type="dxa"/>
          </w:tcPr>
          <w:p w14:paraId="60118191" w14:textId="7AA13F6E" w:rsidR="00F637FA" w:rsidRDefault="00DA5889" w:rsidP="004A34E8">
            <w:pPr>
              <w:pStyle w:val="ListBullet"/>
            </w:pPr>
            <w:hyperlink w:anchor="_Transfers_out" w:history="1">
              <w:r>
                <w:rPr>
                  <w:rStyle w:val="Hyperlink"/>
                </w:rPr>
                <w:t>Whether to calculate transfers out as a bulk transfer</w:t>
              </w:r>
            </w:hyperlink>
          </w:p>
          <w:p w14:paraId="79BC8821" w14:textId="56E6F753" w:rsidR="00FF013F" w:rsidRDefault="00FF013F" w:rsidP="004A34E8">
            <w:pPr>
              <w:pStyle w:val="ListBullet"/>
            </w:pPr>
            <w:hyperlink w:anchor="_Transfers_in" w:history="1">
              <w:r w:rsidRPr="00FF013F">
                <w:rPr>
                  <w:rStyle w:val="Hyperlink"/>
                </w:rPr>
                <w:t>Whether to accept transfer-in elections (non-Club transfers)</w:t>
              </w:r>
            </w:hyperlink>
          </w:p>
        </w:tc>
      </w:tr>
      <w:tr w:rsidR="00C34DE5" w14:paraId="2484C05E" w14:textId="77777777" w:rsidTr="00C80B63">
        <w:trPr>
          <w:cantSplit/>
        </w:trPr>
        <w:tc>
          <w:tcPr>
            <w:tcW w:w="2972" w:type="dxa"/>
          </w:tcPr>
          <w:p w14:paraId="1BC5C370" w14:textId="20C25842" w:rsidR="00C34DE5" w:rsidRDefault="00C34DE5" w:rsidP="00DB1B96">
            <w:pPr>
              <w:spacing w:before="0" w:after="0"/>
              <w:rPr>
                <w:bCs/>
              </w:rPr>
            </w:pPr>
            <w:r>
              <w:rPr>
                <w:bCs/>
              </w:rPr>
              <w:t>Trivial commutation</w:t>
            </w:r>
          </w:p>
        </w:tc>
        <w:tc>
          <w:tcPr>
            <w:tcW w:w="6379" w:type="dxa"/>
          </w:tcPr>
          <w:p w14:paraId="7A275594" w14:textId="77777777" w:rsidR="00C34DE5" w:rsidRDefault="00DA3262" w:rsidP="004A34E8">
            <w:pPr>
              <w:pStyle w:val="ListBullet"/>
            </w:pPr>
            <w:hyperlink w:anchor="_Trivial_commutation" w:history="1">
              <w:r w:rsidRPr="00DA3262">
                <w:rPr>
                  <w:rStyle w:val="Hyperlink"/>
                </w:rPr>
                <w:t>Whether to trivially commute benefits</w:t>
              </w:r>
            </w:hyperlink>
          </w:p>
          <w:p w14:paraId="0CE767C6" w14:textId="68FF7A55" w:rsidR="00DA3262" w:rsidRDefault="00363F8B" w:rsidP="004A34E8">
            <w:pPr>
              <w:pStyle w:val="ListBullet"/>
            </w:pPr>
            <w:hyperlink w:anchor="_Trivial_commutation_1" w:history="1">
              <w:r w:rsidRPr="00363F8B">
                <w:rPr>
                  <w:rStyle w:val="Hyperlink"/>
                </w:rPr>
                <w:t>Whether to trivially commute pension credit benefits</w:t>
              </w:r>
            </w:hyperlink>
          </w:p>
        </w:tc>
      </w:tr>
      <w:tr w:rsidR="00DA3262" w14:paraId="53A6850D" w14:textId="77777777" w:rsidTr="00C80B63">
        <w:trPr>
          <w:cantSplit/>
        </w:trPr>
        <w:tc>
          <w:tcPr>
            <w:tcW w:w="2972" w:type="dxa"/>
          </w:tcPr>
          <w:p w14:paraId="210B414E" w14:textId="635D5317" w:rsidR="00DA3262" w:rsidRDefault="002D07A4" w:rsidP="00DB1B96">
            <w:pPr>
              <w:spacing w:before="0" w:after="0"/>
              <w:rPr>
                <w:bCs/>
              </w:rPr>
            </w:pPr>
            <w:r>
              <w:rPr>
                <w:bCs/>
              </w:rPr>
              <w:t>Voluntary scheme pays</w:t>
            </w:r>
          </w:p>
        </w:tc>
        <w:tc>
          <w:tcPr>
            <w:tcW w:w="6379" w:type="dxa"/>
          </w:tcPr>
          <w:p w14:paraId="47D50ED3" w14:textId="222F71A6" w:rsidR="00DA3262" w:rsidRDefault="002D07A4" w:rsidP="004A34E8">
            <w:pPr>
              <w:pStyle w:val="ListBullet"/>
            </w:pPr>
            <w:hyperlink w:anchor="_Voluntary_scheme_pays" w:history="1">
              <w:r w:rsidRPr="006A233C">
                <w:rPr>
                  <w:rStyle w:val="Hyperlink"/>
                </w:rPr>
                <w:t xml:space="preserve">Whether </w:t>
              </w:r>
              <w:r w:rsidR="006A233C" w:rsidRPr="006A233C">
                <w:rPr>
                  <w:rStyle w:val="Hyperlink"/>
                </w:rPr>
                <w:t>the administering authority</w:t>
              </w:r>
              <w:r w:rsidRPr="006A233C">
                <w:rPr>
                  <w:rStyle w:val="Hyperlink"/>
                </w:rPr>
                <w:t xml:space="preserve"> can agree to </w:t>
              </w:r>
              <w:r w:rsidR="006A233C" w:rsidRPr="006A233C">
                <w:rPr>
                  <w:rStyle w:val="Hyperlink"/>
                </w:rPr>
                <w:t>voluntary scheme pays and, if so, in what circumstances would it be offered</w:t>
              </w:r>
            </w:hyperlink>
          </w:p>
        </w:tc>
      </w:tr>
    </w:tbl>
    <w:p w14:paraId="1774F746" w14:textId="77777777" w:rsidR="00A65744" w:rsidRPr="00A65744" w:rsidRDefault="00A65744" w:rsidP="00A65744"/>
    <w:p w14:paraId="48DB0232" w14:textId="7DDCD432" w:rsidR="00CC5FD7" w:rsidRDefault="00CC5FD7" w:rsidP="0097042E">
      <w:pPr>
        <w:pStyle w:val="ListBullet"/>
        <w:numPr>
          <w:ilvl w:val="0"/>
          <w:numId w:val="0"/>
        </w:numPr>
        <w:sectPr w:rsidR="00CC5FD7" w:rsidSect="00560762">
          <w:pgSz w:w="11906" w:h="16838"/>
          <w:pgMar w:top="1440" w:right="1440" w:bottom="1440" w:left="1440" w:header="708" w:footer="708" w:gutter="0"/>
          <w:cols w:space="708"/>
          <w:docGrid w:linePitch="360"/>
        </w:sectPr>
      </w:pPr>
    </w:p>
    <w:p w14:paraId="528CE109" w14:textId="284F5010" w:rsidR="000F5303" w:rsidRPr="00A85764" w:rsidRDefault="00044620" w:rsidP="00A85764">
      <w:pPr>
        <w:pStyle w:val="Heading2"/>
      </w:pPr>
      <w:bookmarkStart w:id="23" w:name="_Overview_of_scenarios"/>
      <w:bookmarkStart w:id="24" w:name="_Table_1_(consecutive"/>
      <w:bookmarkStart w:id="25" w:name="_Cohabiting_partners_–"/>
      <w:bookmarkStart w:id="26" w:name="_Employer_discretions"/>
      <w:bookmarkStart w:id="27" w:name="_Opposite-sex_marriages_-"/>
      <w:bookmarkStart w:id="28" w:name="_Administering_authority_discretions"/>
      <w:bookmarkStart w:id="29" w:name="_Toc177655819"/>
      <w:bookmarkStart w:id="30" w:name="_Toc197699106"/>
      <w:bookmarkEnd w:id="23"/>
      <w:bookmarkEnd w:id="24"/>
      <w:bookmarkEnd w:id="25"/>
      <w:bookmarkEnd w:id="26"/>
      <w:bookmarkEnd w:id="27"/>
      <w:bookmarkEnd w:id="28"/>
      <w:r w:rsidRPr="00A85764">
        <w:lastRenderedPageBreak/>
        <w:t>Administering authority discretions</w:t>
      </w:r>
      <w:bookmarkEnd w:id="29"/>
      <w:bookmarkEnd w:id="30"/>
    </w:p>
    <w:p w14:paraId="27FD37E1" w14:textId="236AC7B7" w:rsidR="00044620" w:rsidRPr="00FA29DA" w:rsidRDefault="00044620" w:rsidP="00044620">
      <w:pPr>
        <w:pStyle w:val="Caption"/>
        <w:keepNext/>
        <w:rPr>
          <w:b/>
          <w:bCs/>
          <w:i w:val="0"/>
          <w:iCs w:val="0"/>
          <w:color w:val="auto"/>
          <w:sz w:val="24"/>
          <w:szCs w:val="24"/>
        </w:rPr>
      </w:pPr>
      <w:r w:rsidRPr="00FA29DA">
        <w:rPr>
          <w:b/>
          <w:bCs/>
          <w:i w:val="0"/>
          <w:iCs w:val="0"/>
          <w:color w:val="auto"/>
          <w:sz w:val="24"/>
          <w:szCs w:val="24"/>
        </w:rPr>
        <w:t xml:space="preserve">Table </w:t>
      </w:r>
      <w:r w:rsidR="000E6BC9">
        <w:rPr>
          <w:b/>
          <w:bCs/>
          <w:i w:val="0"/>
          <w:iCs w:val="0"/>
          <w:color w:val="auto"/>
          <w:sz w:val="24"/>
          <w:szCs w:val="24"/>
        </w:rPr>
        <w:t>2</w:t>
      </w:r>
      <w:r w:rsidRPr="00FA29DA">
        <w:rPr>
          <w:b/>
          <w:bCs/>
          <w:i w:val="0"/>
          <w:iCs w:val="0"/>
          <w:color w:val="auto"/>
          <w:sz w:val="24"/>
          <w:szCs w:val="24"/>
        </w:rPr>
        <w:t xml:space="preserve"> </w:t>
      </w:r>
      <w:r w:rsidR="00390FD3">
        <w:rPr>
          <w:b/>
          <w:bCs/>
          <w:i w:val="0"/>
          <w:iCs w:val="0"/>
          <w:color w:val="auto"/>
          <w:sz w:val="24"/>
          <w:szCs w:val="24"/>
        </w:rPr>
        <w:t>–</w:t>
      </w:r>
      <w:r w:rsidR="007A0583">
        <w:rPr>
          <w:b/>
          <w:bCs/>
          <w:i w:val="0"/>
          <w:iCs w:val="0"/>
          <w:color w:val="auto"/>
          <w:sz w:val="24"/>
          <w:szCs w:val="24"/>
        </w:rPr>
        <w:t xml:space="preserve"> </w:t>
      </w:r>
      <w:r w:rsidR="004B46B3">
        <w:rPr>
          <w:b/>
          <w:bCs/>
          <w:i w:val="0"/>
          <w:iCs w:val="0"/>
          <w:color w:val="auto"/>
          <w:sz w:val="24"/>
          <w:szCs w:val="24"/>
        </w:rPr>
        <w:t>s</w:t>
      </w:r>
      <w:r w:rsidR="00EC6B12">
        <w:rPr>
          <w:b/>
          <w:bCs/>
          <w:i w:val="0"/>
          <w:iCs w:val="0"/>
          <w:color w:val="auto"/>
          <w:sz w:val="24"/>
          <w:szCs w:val="24"/>
        </w:rPr>
        <w:t xml:space="preserve">ets out information on administering authority discretions under the </w:t>
      </w:r>
      <w:r w:rsidR="00AF1B4E">
        <w:rPr>
          <w:b/>
          <w:bCs/>
          <w:i w:val="0"/>
          <w:iCs w:val="0"/>
          <w:color w:val="auto"/>
          <w:sz w:val="24"/>
          <w:szCs w:val="24"/>
        </w:rPr>
        <w:t>LGPS</w:t>
      </w:r>
      <w:r w:rsidR="00EC6B12">
        <w:rPr>
          <w:b/>
          <w:bCs/>
          <w:i w:val="0"/>
          <w:iCs w:val="0"/>
          <w:color w:val="auto"/>
          <w:sz w:val="24"/>
          <w:szCs w:val="24"/>
        </w:rPr>
        <w:t xml:space="preserve"> regulations</w:t>
      </w:r>
      <w:r w:rsidR="00852242">
        <w:rPr>
          <w:b/>
          <w:bCs/>
          <w:i w:val="0"/>
          <w:iCs w:val="0"/>
          <w:color w:val="auto"/>
          <w:sz w:val="24"/>
          <w:szCs w:val="24"/>
        </w:rPr>
        <w:t xml:space="preserve">, the </w:t>
      </w:r>
      <w:r w:rsidR="00EC6B12">
        <w:rPr>
          <w:b/>
          <w:bCs/>
          <w:i w:val="0"/>
          <w:iCs w:val="0"/>
          <w:color w:val="auto"/>
          <w:sz w:val="24"/>
          <w:szCs w:val="24"/>
        </w:rPr>
        <w:t>1998 Discretionary Regulations</w:t>
      </w:r>
      <w:r w:rsidR="00852242">
        <w:rPr>
          <w:b/>
          <w:bCs/>
          <w:i w:val="0"/>
          <w:iCs w:val="0"/>
          <w:color w:val="auto"/>
          <w:sz w:val="24"/>
          <w:szCs w:val="24"/>
        </w:rPr>
        <w:t xml:space="preserve"> and the 2011 Modification Regulations</w:t>
      </w:r>
    </w:p>
    <w:tbl>
      <w:tblPr>
        <w:tblStyle w:val="TableGrid"/>
        <w:tblW w:w="14879" w:type="dxa"/>
        <w:tblLayout w:type="fixed"/>
        <w:tblLook w:val="04A0" w:firstRow="1" w:lastRow="0" w:firstColumn="1" w:lastColumn="0" w:noHBand="0" w:noVBand="1"/>
      </w:tblPr>
      <w:tblGrid>
        <w:gridCol w:w="704"/>
        <w:gridCol w:w="2126"/>
        <w:gridCol w:w="3686"/>
        <w:gridCol w:w="4819"/>
        <w:gridCol w:w="1701"/>
        <w:gridCol w:w="1843"/>
      </w:tblGrid>
      <w:tr w:rsidR="00B36D31" w14:paraId="56CABE65" w14:textId="77777777" w:rsidTr="00AF5D4D">
        <w:trPr>
          <w:cantSplit/>
          <w:tblHeader/>
        </w:trPr>
        <w:tc>
          <w:tcPr>
            <w:tcW w:w="704" w:type="dxa"/>
          </w:tcPr>
          <w:p w14:paraId="70C666C3" w14:textId="3EDB3F60" w:rsidR="00B36D31" w:rsidRPr="00105649" w:rsidRDefault="00B36D31" w:rsidP="00105649">
            <w:pPr>
              <w:spacing w:before="0" w:after="0"/>
              <w:rPr>
                <w:b/>
                <w:bCs/>
              </w:rPr>
            </w:pPr>
            <w:r w:rsidRPr="00105649">
              <w:rPr>
                <w:b/>
                <w:bCs/>
              </w:rPr>
              <w:lastRenderedPageBreak/>
              <w:t>No.</w:t>
            </w:r>
          </w:p>
        </w:tc>
        <w:tc>
          <w:tcPr>
            <w:tcW w:w="2126" w:type="dxa"/>
          </w:tcPr>
          <w:p w14:paraId="38558C47" w14:textId="7252E274" w:rsidR="00B36D31" w:rsidRPr="00105649" w:rsidRDefault="00B36D31" w:rsidP="00105649">
            <w:pPr>
              <w:spacing w:before="0" w:after="0"/>
              <w:rPr>
                <w:b/>
                <w:bCs/>
              </w:rPr>
            </w:pPr>
            <w:r w:rsidRPr="00105649">
              <w:rPr>
                <w:b/>
                <w:bCs/>
              </w:rPr>
              <w:t>Topic</w:t>
            </w:r>
          </w:p>
        </w:tc>
        <w:tc>
          <w:tcPr>
            <w:tcW w:w="3686" w:type="dxa"/>
          </w:tcPr>
          <w:p w14:paraId="00F69AA9" w14:textId="177DC3FB" w:rsidR="00B36D31" w:rsidRPr="00105649" w:rsidRDefault="00333BD0" w:rsidP="00105649">
            <w:pPr>
              <w:spacing w:before="0" w:after="0"/>
              <w:rPr>
                <w:b/>
                <w:bCs/>
              </w:rPr>
            </w:pPr>
            <w:r>
              <w:rPr>
                <w:b/>
                <w:bCs/>
              </w:rPr>
              <w:t>Relevant member / employer</w:t>
            </w:r>
          </w:p>
        </w:tc>
        <w:tc>
          <w:tcPr>
            <w:tcW w:w="4819" w:type="dxa"/>
          </w:tcPr>
          <w:p w14:paraId="44F35BF4" w14:textId="6210A506" w:rsidR="00B36D31" w:rsidRPr="00105649" w:rsidRDefault="00D96A4E" w:rsidP="00105649">
            <w:pPr>
              <w:spacing w:before="0" w:after="0"/>
              <w:rPr>
                <w:b/>
                <w:bCs/>
              </w:rPr>
            </w:pPr>
            <w:r>
              <w:rPr>
                <w:b/>
                <w:bCs/>
              </w:rPr>
              <w:t>Summary</w:t>
            </w:r>
            <w:r w:rsidR="00B36D31" w:rsidRPr="00105649">
              <w:rPr>
                <w:b/>
                <w:bCs/>
              </w:rPr>
              <w:t xml:space="preserve"> of administ</w:t>
            </w:r>
            <w:r w:rsidR="004B46B3" w:rsidRPr="00105649">
              <w:rPr>
                <w:b/>
                <w:bCs/>
              </w:rPr>
              <w:t>ering</w:t>
            </w:r>
            <w:r w:rsidR="00B36D31" w:rsidRPr="00105649">
              <w:rPr>
                <w:b/>
                <w:bCs/>
              </w:rPr>
              <w:t xml:space="preserve"> authority discretion</w:t>
            </w:r>
          </w:p>
        </w:tc>
        <w:tc>
          <w:tcPr>
            <w:tcW w:w="1701" w:type="dxa"/>
          </w:tcPr>
          <w:p w14:paraId="067759AF" w14:textId="26F53A2B" w:rsidR="00B36D31" w:rsidRPr="00105649" w:rsidRDefault="00B36D31" w:rsidP="00105649">
            <w:pPr>
              <w:spacing w:before="0" w:after="0"/>
              <w:rPr>
                <w:b/>
                <w:bCs/>
              </w:rPr>
            </w:pPr>
            <w:r w:rsidRPr="00105649">
              <w:rPr>
                <w:b/>
                <w:bCs/>
              </w:rPr>
              <w:t xml:space="preserve">Whether </w:t>
            </w:r>
            <w:r w:rsidR="00590D45" w:rsidRPr="00105649">
              <w:rPr>
                <w:b/>
                <w:bCs/>
              </w:rPr>
              <w:t>it</w:t>
            </w:r>
            <w:r w:rsidRPr="00105649">
              <w:rPr>
                <w:b/>
                <w:bCs/>
              </w:rPr>
              <w:t xml:space="preserve"> must set out its policy</w:t>
            </w:r>
          </w:p>
        </w:tc>
        <w:tc>
          <w:tcPr>
            <w:tcW w:w="1843" w:type="dxa"/>
          </w:tcPr>
          <w:p w14:paraId="2BB8420D" w14:textId="77777777" w:rsidR="00B36D31" w:rsidRPr="00105649" w:rsidRDefault="00B36D31" w:rsidP="00105649">
            <w:pPr>
              <w:spacing w:before="0" w:after="0"/>
              <w:rPr>
                <w:b/>
                <w:bCs/>
              </w:rPr>
            </w:pPr>
            <w:r w:rsidRPr="00105649">
              <w:rPr>
                <w:b/>
                <w:bCs/>
              </w:rPr>
              <w:t>Regulations</w:t>
            </w:r>
          </w:p>
        </w:tc>
      </w:tr>
      <w:tr w:rsidR="00B36D31" w14:paraId="31D51427" w14:textId="77777777" w:rsidTr="00AF5D4D">
        <w:trPr>
          <w:cantSplit/>
        </w:trPr>
        <w:tc>
          <w:tcPr>
            <w:tcW w:w="704" w:type="dxa"/>
          </w:tcPr>
          <w:p w14:paraId="0207AA5E" w14:textId="67A74B40" w:rsidR="00B36D31" w:rsidRDefault="00B36D31" w:rsidP="00E66C2D">
            <w:pPr>
              <w:spacing w:before="0"/>
            </w:pPr>
            <w:r>
              <w:t>1</w:t>
            </w:r>
          </w:p>
        </w:tc>
        <w:tc>
          <w:tcPr>
            <w:tcW w:w="2126" w:type="dxa"/>
          </w:tcPr>
          <w:p w14:paraId="6E8091E1" w14:textId="702978AE" w:rsidR="00B36D31" w:rsidRPr="002C44E1" w:rsidRDefault="00B36D31" w:rsidP="004A34E8">
            <w:pPr>
              <w:pStyle w:val="Heading3"/>
            </w:pPr>
            <w:bookmarkStart w:id="31" w:name="_Abatement"/>
            <w:bookmarkEnd w:id="31"/>
            <w:r w:rsidRPr="002C44E1">
              <w:t>Abatement</w:t>
            </w:r>
          </w:p>
        </w:tc>
        <w:tc>
          <w:tcPr>
            <w:tcW w:w="3686" w:type="dxa"/>
          </w:tcPr>
          <w:p w14:paraId="78FC3A53" w14:textId="19AD17CC" w:rsidR="00B36D31" w:rsidRDefault="00B36D31" w:rsidP="00E66C2D">
            <w:pPr>
              <w:spacing w:before="0"/>
            </w:pPr>
            <w:r>
              <w:t>A pensioner member:</w:t>
            </w:r>
          </w:p>
          <w:p w14:paraId="0D7E8CE5" w14:textId="2995E776" w:rsidR="00B36D31" w:rsidRDefault="00B36D31" w:rsidP="00E66C2D">
            <w:pPr>
              <w:pStyle w:val="ListBullet"/>
            </w:pPr>
            <w:r>
              <w:t>whose pension includes pre-April 2015 benefits, and</w:t>
            </w:r>
          </w:p>
          <w:p w14:paraId="64FBEFD9" w14:textId="0C08991D" w:rsidR="00B36D31" w:rsidRDefault="00B36D31" w:rsidP="00E66C2D">
            <w:pPr>
              <w:pStyle w:val="ListBullet"/>
            </w:pPr>
            <w:r>
              <w:t xml:space="preserve">who enters a new employment with </w:t>
            </w:r>
            <w:r w:rsidRPr="00263CCF">
              <w:t xml:space="preserve">an </w:t>
            </w:r>
            <w:r w:rsidR="00AF1B4E">
              <w:t>LGPS</w:t>
            </w:r>
            <w:r w:rsidRPr="00263CCF">
              <w:t xml:space="preserve"> employer</w:t>
            </w:r>
            <w:r w:rsidR="0076508B">
              <w:t>.</w:t>
            </w:r>
          </w:p>
          <w:p w14:paraId="5569671D" w14:textId="628EC67F" w:rsidR="00B36D31" w:rsidRDefault="00B36D31" w:rsidP="00F34AC9">
            <w:r>
              <w:t xml:space="preserve">This does not apply where the member </w:t>
            </w:r>
            <w:r w:rsidR="004F3E44">
              <w:t>can join</w:t>
            </w:r>
            <w:r>
              <w:t xml:space="preserve"> </w:t>
            </w:r>
            <w:r w:rsidR="004F3E44">
              <w:t>the</w:t>
            </w:r>
            <w:r>
              <w:t xml:space="preserve"> teachers’ pension scheme </w:t>
            </w:r>
            <w:r w:rsidR="004F3E44">
              <w:t>in</w:t>
            </w:r>
            <w:r>
              <w:t xml:space="preserve"> the new employment</w:t>
            </w:r>
            <w:r w:rsidR="0076508B">
              <w:t>.</w:t>
            </w:r>
          </w:p>
        </w:tc>
        <w:tc>
          <w:tcPr>
            <w:tcW w:w="4819" w:type="dxa"/>
          </w:tcPr>
          <w:p w14:paraId="390467B0" w14:textId="0086261A" w:rsidR="00B36D31" w:rsidRDefault="00D453A8" w:rsidP="00E66C2D">
            <w:pPr>
              <w:spacing w:before="0"/>
            </w:pPr>
            <w:r>
              <w:t>Decide w</w:t>
            </w:r>
            <w:r w:rsidR="00B36D31">
              <w:t>hether to reduce</w:t>
            </w:r>
            <w:r w:rsidR="00807747">
              <w:t xml:space="preserve">, or </w:t>
            </w:r>
            <w:r w:rsidR="00730A62">
              <w:t>suspend</w:t>
            </w:r>
            <w:r w:rsidR="002B30F0">
              <w:t xml:space="preserve"> payment of,</w:t>
            </w:r>
            <w:r w:rsidR="00B36D31">
              <w:t xml:space="preserve"> the pension </w:t>
            </w:r>
            <w:r w:rsidR="004F3E44">
              <w:t>for the</w:t>
            </w:r>
            <w:r w:rsidR="00B36D31">
              <w:t xml:space="preserve"> pre-April 2015 benefits while the member </w:t>
            </w:r>
            <w:r w:rsidR="004F3E44">
              <w:t>is in</w:t>
            </w:r>
            <w:r w:rsidR="00B36D31">
              <w:t xml:space="preserve"> the new employment</w:t>
            </w:r>
            <w:r w:rsidR="003460E7">
              <w:t>.</w:t>
            </w:r>
          </w:p>
          <w:p w14:paraId="5BC507CC" w14:textId="223E44E0" w:rsidR="00B36D31" w:rsidRDefault="00730A62" w:rsidP="00E66C2D">
            <w:pPr>
              <w:spacing w:before="0"/>
            </w:pPr>
            <w:r>
              <w:t>If</w:t>
            </w:r>
            <w:r w:rsidR="00B36D31">
              <w:t xml:space="preserve"> the member was a member on 31 March 1998, </w:t>
            </w:r>
            <w:r w:rsidR="00F67ACA">
              <w:t>you</w:t>
            </w:r>
            <w:r w:rsidR="00B36D31">
              <w:t xml:space="preserve"> may not reduce the pension below the level that </w:t>
            </w:r>
            <w:r w:rsidR="00F67ACA">
              <w:t>you</w:t>
            </w:r>
            <w:r w:rsidR="00B36D31">
              <w:t xml:space="preserve"> would have reduced </w:t>
            </w:r>
            <w:r w:rsidR="00F67ACA">
              <w:t>it</w:t>
            </w:r>
            <w:r w:rsidR="00B36D31">
              <w:t xml:space="preserve"> under the 1987 Regulations.</w:t>
            </w:r>
          </w:p>
          <w:p w14:paraId="47A59F79" w14:textId="1BDEB702" w:rsidR="00D96A4E" w:rsidRDefault="009E15F2" w:rsidP="00E66C2D">
            <w:pPr>
              <w:spacing w:before="0"/>
            </w:pPr>
            <w:r>
              <w:t>You</w:t>
            </w:r>
            <w:r w:rsidR="00B36D31">
              <w:t xml:space="preserve"> may not reduce any </w:t>
            </w:r>
            <w:r w:rsidR="003460E7">
              <w:t xml:space="preserve">flexible retirement </w:t>
            </w:r>
            <w:r w:rsidR="00B36D31">
              <w:t>pension while</w:t>
            </w:r>
            <w:r w:rsidR="003460E7">
              <w:t xml:space="preserve"> the member is</w:t>
            </w:r>
            <w:r w:rsidR="00B36D31">
              <w:t xml:space="preserve"> in any subsequent employment with the employer who consented to the flexible retirement</w:t>
            </w:r>
            <w:r w:rsidR="0076508B">
              <w:t>.</w:t>
            </w:r>
          </w:p>
        </w:tc>
        <w:tc>
          <w:tcPr>
            <w:tcW w:w="1701" w:type="dxa"/>
          </w:tcPr>
          <w:p w14:paraId="4018A1C9" w14:textId="77777777" w:rsidR="00B36D31" w:rsidRDefault="00B36D31" w:rsidP="00E66C2D">
            <w:pPr>
              <w:spacing w:before="0"/>
            </w:pPr>
            <w:r>
              <w:t>Yes</w:t>
            </w:r>
          </w:p>
          <w:p w14:paraId="37E3B9ED" w14:textId="5231F723" w:rsidR="00B36D31" w:rsidRDefault="00B36D31" w:rsidP="00E66C2D">
            <w:pPr>
              <w:spacing w:before="0"/>
            </w:pPr>
            <w:r w:rsidRPr="00DD22F5">
              <w:t xml:space="preserve">See </w:t>
            </w:r>
            <w:hyperlink w:anchor="_Note_3_-" w:history="1">
              <w:r w:rsidR="001F3117">
                <w:rPr>
                  <w:rStyle w:val="Hyperlink"/>
                </w:rPr>
                <w:t>Note 3</w:t>
              </w:r>
            </w:hyperlink>
          </w:p>
        </w:tc>
        <w:tc>
          <w:tcPr>
            <w:tcW w:w="1843" w:type="dxa"/>
          </w:tcPr>
          <w:p w14:paraId="5633CD17" w14:textId="044DDDD9" w:rsidR="00B36D31" w:rsidRDefault="00B36D31" w:rsidP="005C1FF9">
            <w:pPr>
              <w:spacing w:before="0" w:after="120"/>
            </w:pPr>
            <w:r>
              <w:t>3(11) of the 2014 Transitional Regulations</w:t>
            </w:r>
          </w:p>
          <w:p w14:paraId="607ABC46" w14:textId="6C037304" w:rsidR="00B36D31" w:rsidRDefault="00E46C8E" w:rsidP="005C1FF9">
            <w:pPr>
              <w:spacing w:before="0" w:after="120"/>
            </w:pPr>
            <w:r>
              <w:t xml:space="preserve">64 &amp; </w:t>
            </w:r>
            <w:r w:rsidR="00B36D31">
              <w:t xml:space="preserve">65 of the </w:t>
            </w:r>
            <w:r w:rsidR="00AF1B4E">
              <w:t>LGPS</w:t>
            </w:r>
            <w:r w:rsidR="00B36D31">
              <w:t xml:space="preserve"> (Administration) Regulations</w:t>
            </w:r>
          </w:p>
          <w:p w14:paraId="5F39DBEF" w14:textId="1D0D6DDE" w:rsidR="00B36D31" w:rsidRDefault="00B36D31" w:rsidP="005C1FF9">
            <w:pPr>
              <w:spacing w:before="0" w:after="120"/>
            </w:pPr>
            <w:r>
              <w:t>12 of the 2008 Transitional Regulations</w:t>
            </w:r>
          </w:p>
          <w:p w14:paraId="77906956" w14:textId="37E0EB49" w:rsidR="00B36D31" w:rsidRDefault="00B36D31" w:rsidP="005C1FF9">
            <w:pPr>
              <w:spacing w:before="0" w:after="120"/>
            </w:pPr>
            <w:r>
              <w:t>109 and 110 of the 1998 Regulations</w:t>
            </w:r>
          </w:p>
          <w:p w14:paraId="36609230" w14:textId="53AD68CB" w:rsidR="00B36D31" w:rsidRDefault="00B36D31" w:rsidP="005C1FF9">
            <w:pPr>
              <w:spacing w:before="0" w:after="0"/>
            </w:pPr>
            <w:r>
              <w:t>4(1)(b) of the 1998 Transitional Regulations</w:t>
            </w:r>
          </w:p>
        </w:tc>
      </w:tr>
      <w:tr w:rsidR="00B36D31" w14:paraId="0A472DB3" w14:textId="77777777" w:rsidTr="00AF5D4D">
        <w:trPr>
          <w:cantSplit/>
        </w:trPr>
        <w:tc>
          <w:tcPr>
            <w:tcW w:w="704" w:type="dxa"/>
          </w:tcPr>
          <w:p w14:paraId="1AC4C772" w14:textId="17FEB38A" w:rsidR="00B36D31" w:rsidRDefault="00B36D31" w:rsidP="007F00A7">
            <w:pPr>
              <w:spacing w:before="0"/>
            </w:pPr>
            <w:r>
              <w:lastRenderedPageBreak/>
              <w:t>2</w:t>
            </w:r>
          </w:p>
        </w:tc>
        <w:tc>
          <w:tcPr>
            <w:tcW w:w="2126" w:type="dxa"/>
          </w:tcPr>
          <w:p w14:paraId="0BBA41AB" w14:textId="5EB682CC" w:rsidR="00B36D31" w:rsidRPr="00EC1AEA" w:rsidRDefault="00B36D31" w:rsidP="004A34E8">
            <w:pPr>
              <w:pStyle w:val="Heading3"/>
            </w:pPr>
            <w:bookmarkStart w:id="32" w:name="_Added_years"/>
            <w:bookmarkEnd w:id="32"/>
            <w:r w:rsidRPr="00EC1AEA">
              <w:t>Added years</w:t>
            </w:r>
          </w:p>
        </w:tc>
        <w:tc>
          <w:tcPr>
            <w:tcW w:w="3686" w:type="dxa"/>
          </w:tcPr>
          <w:p w14:paraId="61553204" w14:textId="77777777" w:rsidR="00B36D31" w:rsidRDefault="00B36D31" w:rsidP="007F00A7">
            <w:pPr>
              <w:spacing w:before="0"/>
            </w:pPr>
            <w:r>
              <w:t>A member who:</w:t>
            </w:r>
          </w:p>
          <w:p w14:paraId="1C6CA5FC" w14:textId="57405C6B" w:rsidR="00B36D31" w:rsidRDefault="00B36D31" w:rsidP="007F00A7">
            <w:pPr>
              <w:pStyle w:val="ListBullet"/>
            </w:pPr>
            <w:r>
              <w:t xml:space="preserve">stops paying added years contributions on leaving </w:t>
            </w:r>
            <w:r w:rsidR="00967FC9">
              <w:t>due to</w:t>
            </w:r>
            <w:r>
              <w:t xml:space="preserve"> redundancy </w:t>
            </w:r>
            <w:r w:rsidR="00F23737">
              <w:t>or</w:t>
            </w:r>
            <w:r>
              <w:t xml:space="preserve"> business efficiency</w:t>
            </w:r>
            <w:r w:rsidR="004B46B3">
              <w:t>,</w:t>
            </w:r>
          </w:p>
          <w:p w14:paraId="5F425196" w14:textId="48F1B6E0" w:rsidR="00B36D31" w:rsidRDefault="003460E7" w:rsidP="007F00A7">
            <w:pPr>
              <w:pStyle w:val="ListBullet"/>
            </w:pPr>
            <w:r>
              <w:t>can</w:t>
            </w:r>
            <w:r w:rsidR="00B36D31">
              <w:t xml:space="preserve"> elect to pay </w:t>
            </w:r>
            <w:r w:rsidR="004B46B3">
              <w:t xml:space="preserve">the </w:t>
            </w:r>
            <w:r w:rsidR="00B36D31">
              <w:t>balance of added years contributions</w:t>
            </w:r>
            <w:r w:rsidR="00B740EF">
              <w:t xml:space="preserve"> by lump sum</w:t>
            </w:r>
            <w:r w:rsidR="00B36D31">
              <w:t>, and</w:t>
            </w:r>
          </w:p>
          <w:p w14:paraId="20076759" w14:textId="77777777" w:rsidR="00B36D31" w:rsidRDefault="00B36D31" w:rsidP="007F00A7">
            <w:pPr>
              <w:pStyle w:val="ListBullet"/>
            </w:pPr>
            <w:r>
              <w:t>elects to do so later than three months after leaving the employment</w:t>
            </w:r>
            <w:r w:rsidR="0076508B">
              <w:t>.</w:t>
            </w:r>
          </w:p>
          <w:p w14:paraId="0375E7AF" w14:textId="5714776E" w:rsidR="00DE0582" w:rsidRDefault="00DE0582" w:rsidP="003C036B">
            <w:pPr>
              <w:spacing w:after="0"/>
            </w:pPr>
            <w:r>
              <w:t>This does not apply to councillors.</w:t>
            </w:r>
          </w:p>
        </w:tc>
        <w:tc>
          <w:tcPr>
            <w:tcW w:w="4819" w:type="dxa"/>
          </w:tcPr>
          <w:p w14:paraId="66943D95" w14:textId="77777777" w:rsidR="00B36D31" w:rsidRDefault="00B36D31" w:rsidP="007F00A7">
            <w:pPr>
              <w:spacing w:before="0"/>
            </w:pPr>
            <w:r>
              <w:t>Decide whether to allow the election.</w:t>
            </w:r>
          </w:p>
          <w:p w14:paraId="5D45DEA4" w14:textId="0BA8FDA1" w:rsidR="00B36D31" w:rsidRDefault="00B36D31" w:rsidP="007F00A7">
            <w:pPr>
              <w:spacing w:before="0"/>
            </w:pPr>
            <w:r>
              <w:t xml:space="preserve">Normally, the member </w:t>
            </w:r>
            <w:r w:rsidR="003460E7">
              <w:t>must elect</w:t>
            </w:r>
            <w:r>
              <w:t xml:space="preserve"> by no later than three months after leaving the employment</w:t>
            </w:r>
            <w:r w:rsidR="0076508B">
              <w:t>.</w:t>
            </w:r>
          </w:p>
        </w:tc>
        <w:tc>
          <w:tcPr>
            <w:tcW w:w="1701" w:type="dxa"/>
          </w:tcPr>
          <w:p w14:paraId="04CC2E94" w14:textId="77777777" w:rsidR="00B36D31" w:rsidRDefault="00B36D31" w:rsidP="007F00A7">
            <w:pPr>
              <w:spacing w:before="0"/>
            </w:pPr>
            <w:r>
              <w:t>No</w:t>
            </w:r>
          </w:p>
          <w:p w14:paraId="5C7B3103" w14:textId="7E7C6218" w:rsidR="00B36D31" w:rsidRDefault="00B36D31" w:rsidP="007F00A7">
            <w:pPr>
              <w:spacing w:before="0"/>
            </w:pPr>
            <w:r>
              <w:t xml:space="preserve">See </w:t>
            </w:r>
            <w:hyperlink w:anchor="_Note_1" w:history="1">
              <w:r w:rsidRPr="003A659F">
                <w:rPr>
                  <w:rStyle w:val="Hyperlink"/>
                </w:rPr>
                <w:t>Note 1</w:t>
              </w:r>
            </w:hyperlink>
          </w:p>
        </w:tc>
        <w:tc>
          <w:tcPr>
            <w:tcW w:w="1843" w:type="dxa"/>
          </w:tcPr>
          <w:p w14:paraId="7D142E75" w14:textId="3B5CD0E8" w:rsidR="00B36D31" w:rsidRDefault="00B36D31" w:rsidP="007F00A7">
            <w:pPr>
              <w:spacing w:before="0" w:after="120"/>
            </w:pPr>
            <w:r>
              <w:t>82(5) of the 1998 Regulations</w:t>
            </w:r>
          </w:p>
        </w:tc>
      </w:tr>
      <w:tr w:rsidR="00B36D31" w14:paraId="689A0BEE" w14:textId="77777777" w:rsidTr="00AF5D4D">
        <w:trPr>
          <w:cantSplit/>
        </w:trPr>
        <w:tc>
          <w:tcPr>
            <w:tcW w:w="704" w:type="dxa"/>
          </w:tcPr>
          <w:p w14:paraId="2C5C9D07" w14:textId="213A6E15" w:rsidR="00B36D31" w:rsidRDefault="00B36D31" w:rsidP="005C1FF9">
            <w:pPr>
              <w:spacing w:before="0"/>
            </w:pPr>
            <w:r>
              <w:t>3</w:t>
            </w:r>
          </w:p>
        </w:tc>
        <w:tc>
          <w:tcPr>
            <w:tcW w:w="2126" w:type="dxa"/>
          </w:tcPr>
          <w:p w14:paraId="33A224D5" w14:textId="67ECF9DC" w:rsidR="00B36D31" w:rsidRPr="00EC1AEA" w:rsidRDefault="00B36D31" w:rsidP="004A34E8">
            <w:pPr>
              <w:pStyle w:val="Heading3"/>
            </w:pPr>
            <w:bookmarkStart w:id="33" w:name="_Additional_pension_contribution"/>
            <w:bookmarkEnd w:id="33"/>
            <w:r w:rsidRPr="00EC1AEA">
              <w:t xml:space="preserve">Additional </w:t>
            </w:r>
            <w:r w:rsidR="006704A9">
              <w:t>p</w:t>
            </w:r>
            <w:r w:rsidRPr="00EC1AEA">
              <w:t xml:space="preserve">ension </w:t>
            </w:r>
            <w:r w:rsidR="006704A9">
              <w:t>c</w:t>
            </w:r>
            <w:r w:rsidRPr="00EC1AEA">
              <w:t xml:space="preserve">ontribution </w:t>
            </w:r>
            <w:r w:rsidR="00460487" w:rsidRPr="00EC1AEA">
              <w:br/>
            </w:r>
            <w:r w:rsidRPr="00EC1AEA">
              <w:t>(</w:t>
            </w:r>
            <w:r w:rsidR="001D1C66">
              <w:t>APC</w:t>
            </w:r>
            <w:r w:rsidRPr="00EC1AEA">
              <w:t>s)</w:t>
            </w:r>
          </w:p>
        </w:tc>
        <w:tc>
          <w:tcPr>
            <w:tcW w:w="3686" w:type="dxa"/>
          </w:tcPr>
          <w:p w14:paraId="149FAEDA" w14:textId="6214F684" w:rsidR="00B36D31" w:rsidRDefault="00B36D31" w:rsidP="005C1FF9">
            <w:pPr>
              <w:spacing w:before="0"/>
            </w:pPr>
            <w:r>
              <w:t xml:space="preserve">An active member applying to pay </w:t>
            </w:r>
            <w:r w:rsidR="001D1C66">
              <w:t>APC</w:t>
            </w:r>
            <w:r>
              <w:t>s by regular contributions</w:t>
            </w:r>
            <w:r w:rsidR="0076508B">
              <w:t>.</w:t>
            </w:r>
          </w:p>
        </w:tc>
        <w:tc>
          <w:tcPr>
            <w:tcW w:w="4819" w:type="dxa"/>
          </w:tcPr>
          <w:p w14:paraId="6E6BBD58" w14:textId="6C6AC52B" w:rsidR="00164C4E" w:rsidRPr="00164C4E" w:rsidRDefault="00B36D31" w:rsidP="00A75ABC">
            <w:pPr>
              <w:spacing w:before="0" w:after="0"/>
            </w:pPr>
            <w:r>
              <w:t xml:space="preserve">Decide whether to turn down the application </w:t>
            </w:r>
            <w:r w:rsidR="00EF5A00">
              <w:t>if</w:t>
            </w:r>
            <w:r>
              <w:t xml:space="preserve"> it would be impractical to allow it</w:t>
            </w:r>
            <w:r w:rsidR="003460E7">
              <w:t xml:space="preserve">. </w:t>
            </w:r>
            <w:r w:rsidR="00EF5A00">
              <w:t>For example, t</w:t>
            </w:r>
            <w:r w:rsidR="003460E7">
              <w:t>his could</w:t>
            </w:r>
            <w:r w:rsidR="00EF5A00">
              <w:t xml:space="preserve"> </w:t>
            </w:r>
            <w:r w:rsidR="003460E7">
              <w:t xml:space="preserve">be </w:t>
            </w:r>
            <w:r>
              <w:t>where the regular contributions would be very small</w:t>
            </w:r>
            <w:r w:rsidR="0076508B">
              <w:t>.</w:t>
            </w:r>
          </w:p>
        </w:tc>
        <w:tc>
          <w:tcPr>
            <w:tcW w:w="1701" w:type="dxa"/>
          </w:tcPr>
          <w:p w14:paraId="29E25A3F" w14:textId="77777777" w:rsidR="00B36D31" w:rsidRDefault="00B36D31" w:rsidP="005C1FF9">
            <w:pPr>
              <w:spacing w:before="0"/>
            </w:pPr>
            <w:r>
              <w:t>No</w:t>
            </w:r>
          </w:p>
          <w:p w14:paraId="125692AB" w14:textId="2D72D857" w:rsidR="00B36D31" w:rsidRDefault="00B36D31" w:rsidP="005C1FF9">
            <w:pPr>
              <w:spacing w:before="0"/>
            </w:pPr>
            <w:r>
              <w:t xml:space="preserve">See </w:t>
            </w:r>
            <w:hyperlink w:anchor="_Note_1" w:history="1">
              <w:r w:rsidRPr="003A659F">
                <w:rPr>
                  <w:rStyle w:val="Hyperlink"/>
                </w:rPr>
                <w:t>Note 1</w:t>
              </w:r>
            </w:hyperlink>
          </w:p>
        </w:tc>
        <w:tc>
          <w:tcPr>
            <w:tcW w:w="1843" w:type="dxa"/>
          </w:tcPr>
          <w:p w14:paraId="1E456E02" w14:textId="2D0352C1" w:rsidR="00B36D31" w:rsidRDefault="00B36D31" w:rsidP="005C1FF9">
            <w:pPr>
              <w:spacing w:before="0"/>
            </w:pPr>
            <w:r>
              <w:t>16(1)</w:t>
            </w:r>
            <w:r w:rsidR="00450152">
              <w:t xml:space="preserve"> and (10)</w:t>
            </w:r>
            <w:r>
              <w:t xml:space="preserve"> of the 2018 Regulations</w:t>
            </w:r>
          </w:p>
        </w:tc>
      </w:tr>
      <w:tr w:rsidR="00B36D31" w14:paraId="3B80F003" w14:textId="77777777" w:rsidTr="00AF5D4D">
        <w:trPr>
          <w:cantSplit/>
        </w:trPr>
        <w:tc>
          <w:tcPr>
            <w:tcW w:w="704" w:type="dxa"/>
          </w:tcPr>
          <w:p w14:paraId="5F0ACA06" w14:textId="599DD0E7" w:rsidR="00B36D31" w:rsidRDefault="00B36D31" w:rsidP="005C1FF9">
            <w:pPr>
              <w:spacing w:before="0"/>
            </w:pPr>
            <w:r>
              <w:lastRenderedPageBreak/>
              <w:t>4</w:t>
            </w:r>
          </w:p>
        </w:tc>
        <w:tc>
          <w:tcPr>
            <w:tcW w:w="2126" w:type="dxa"/>
          </w:tcPr>
          <w:p w14:paraId="75692C2F" w14:textId="551E537C" w:rsidR="00B36D31" w:rsidRPr="00C42820" w:rsidRDefault="00B36D31" w:rsidP="004A34E8">
            <w:pPr>
              <w:pStyle w:val="Heading3"/>
            </w:pPr>
            <w:bookmarkStart w:id="34" w:name="_Additional_pension_contribution_1"/>
            <w:bookmarkStart w:id="35" w:name="_Toc177711973"/>
            <w:bookmarkEnd w:id="34"/>
            <w:r w:rsidRPr="00C42820">
              <w:t xml:space="preserve">Additional </w:t>
            </w:r>
            <w:r w:rsidR="006704A9">
              <w:t>p</w:t>
            </w:r>
            <w:r w:rsidRPr="00C42820">
              <w:t xml:space="preserve">ension </w:t>
            </w:r>
            <w:r w:rsidR="006704A9">
              <w:t>c</w:t>
            </w:r>
            <w:r w:rsidRPr="00C42820">
              <w:t>ontribution</w:t>
            </w:r>
            <w:r w:rsidR="00375B06" w:rsidRPr="00C42820">
              <w:br/>
            </w:r>
            <w:r w:rsidRPr="00C42820">
              <w:t>(</w:t>
            </w:r>
            <w:r w:rsidR="001D1C66">
              <w:t>APC</w:t>
            </w:r>
            <w:r w:rsidRPr="00C42820">
              <w:t>s)</w:t>
            </w:r>
            <w:bookmarkEnd w:id="35"/>
          </w:p>
        </w:tc>
        <w:tc>
          <w:tcPr>
            <w:tcW w:w="3686" w:type="dxa"/>
          </w:tcPr>
          <w:p w14:paraId="310D794D" w14:textId="466E26D7" w:rsidR="00B36D31" w:rsidRDefault="00B36D31" w:rsidP="005C1FF9">
            <w:pPr>
              <w:spacing w:before="0"/>
            </w:pPr>
            <w:r>
              <w:t xml:space="preserve">An active member applying to pay </w:t>
            </w:r>
            <w:r w:rsidR="001D1C66">
              <w:t>APC</w:t>
            </w:r>
            <w:r>
              <w:t>s</w:t>
            </w:r>
            <w:r w:rsidR="0076508B">
              <w:t>.</w:t>
            </w:r>
          </w:p>
        </w:tc>
        <w:tc>
          <w:tcPr>
            <w:tcW w:w="4819" w:type="dxa"/>
          </w:tcPr>
          <w:p w14:paraId="56FC07A1" w14:textId="77777777" w:rsidR="003460E7" w:rsidRDefault="00B36D31" w:rsidP="005C1FF9">
            <w:pPr>
              <w:spacing w:before="0"/>
            </w:pPr>
            <w:r>
              <w:t>Decide whether to require the member to produce a report by a registered medical practitioner of the results of a medical examination</w:t>
            </w:r>
            <w:r w:rsidR="003460E7">
              <w:t>.</w:t>
            </w:r>
          </w:p>
          <w:p w14:paraId="5ED1057A" w14:textId="36F33132" w:rsidR="00B36D31" w:rsidRDefault="003460E7" w:rsidP="007406B2">
            <w:pPr>
              <w:spacing w:before="0" w:after="0"/>
            </w:pPr>
            <w:r>
              <w:t xml:space="preserve">If so, the member </w:t>
            </w:r>
            <w:r w:rsidR="00D275E9">
              <w:t>will need to meet</w:t>
            </w:r>
            <w:r>
              <w:t xml:space="preserve"> the cost of the report.</w:t>
            </w:r>
          </w:p>
        </w:tc>
        <w:tc>
          <w:tcPr>
            <w:tcW w:w="1701" w:type="dxa"/>
          </w:tcPr>
          <w:p w14:paraId="52213EBC" w14:textId="77777777" w:rsidR="00B36D31" w:rsidRDefault="00B36D31" w:rsidP="005C1FF9">
            <w:pPr>
              <w:spacing w:before="0"/>
            </w:pPr>
            <w:r>
              <w:t>No</w:t>
            </w:r>
          </w:p>
          <w:p w14:paraId="14B4A11E" w14:textId="013B11A9" w:rsidR="00B36D31" w:rsidRDefault="00B36D31" w:rsidP="005C1FF9">
            <w:pPr>
              <w:spacing w:before="0"/>
            </w:pPr>
            <w:r>
              <w:t xml:space="preserve">See </w:t>
            </w:r>
            <w:hyperlink w:anchor="_Note_1" w:history="1">
              <w:r w:rsidRPr="003A659F">
                <w:rPr>
                  <w:rStyle w:val="Hyperlink"/>
                </w:rPr>
                <w:t>Note 1</w:t>
              </w:r>
            </w:hyperlink>
          </w:p>
        </w:tc>
        <w:tc>
          <w:tcPr>
            <w:tcW w:w="1843" w:type="dxa"/>
          </w:tcPr>
          <w:p w14:paraId="7095BD02" w14:textId="4CDE6C4F" w:rsidR="00B36D31" w:rsidRDefault="00B36D31" w:rsidP="005C1FF9">
            <w:pPr>
              <w:spacing w:before="0"/>
            </w:pPr>
            <w:r>
              <w:t>16(10) of the 2018 Regulations</w:t>
            </w:r>
          </w:p>
        </w:tc>
      </w:tr>
      <w:tr w:rsidR="00B36D31" w14:paraId="1C92B444" w14:textId="77777777" w:rsidTr="00AF5D4D">
        <w:trPr>
          <w:cantSplit/>
        </w:trPr>
        <w:tc>
          <w:tcPr>
            <w:tcW w:w="704" w:type="dxa"/>
          </w:tcPr>
          <w:p w14:paraId="15B991CB" w14:textId="16640D61" w:rsidR="00B36D31" w:rsidRDefault="00B36D31" w:rsidP="00726439">
            <w:pPr>
              <w:spacing w:before="0"/>
            </w:pPr>
            <w:r>
              <w:t>5</w:t>
            </w:r>
          </w:p>
        </w:tc>
        <w:tc>
          <w:tcPr>
            <w:tcW w:w="2126" w:type="dxa"/>
          </w:tcPr>
          <w:p w14:paraId="0A225812" w14:textId="263AFA96" w:rsidR="00B36D31" w:rsidRPr="00D506BE" w:rsidRDefault="00B36D31" w:rsidP="004A34E8">
            <w:pPr>
              <w:pStyle w:val="Heading3"/>
            </w:pPr>
            <w:bookmarkStart w:id="36" w:name="_Additional_Pension_Contribution_2"/>
            <w:bookmarkStart w:id="37" w:name="_Toc177711974"/>
            <w:bookmarkEnd w:id="36"/>
            <w:r w:rsidRPr="00D506BE">
              <w:t>Additional Pension Contribution</w:t>
            </w:r>
            <w:r w:rsidR="00375B06" w:rsidRPr="00D506BE">
              <w:br/>
            </w:r>
            <w:r w:rsidRPr="00D506BE">
              <w:t>(</w:t>
            </w:r>
            <w:r w:rsidR="001D1C66">
              <w:t>APC</w:t>
            </w:r>
            <w:r w:rsidRPr="00D506BE">
              <w:t>s)</w:t>
            </w:r>
            <w:bookmarkEnd w:id="37"/>
          </w:p>
        </w:tc>
        <w:tc>
          <w:tcPr>
            <w:tcW w:w="3686" w:type="dxa"/>
          </w:tcPr>
          <w:p w14:paraId="62995FE3" w14:textId="44E95A5E" w:rsidR="00B36D31" w:rsidRDefault="00B36D31" w:rsidP="00726439">
            <w:pPr>
              <w:spacing w:before="0"/>
            </w:pPr>
            <w:r>
              <w:t xml:space="preserve">An active member applying to pay </w:t>
            </w:r>
            <w:r w:rsidR="001D1C66">
              <w:t>APC</w:t>
            </w:r>
            <w:r>
              <w:t>s</w:t>
            </w:r>
            <w:r w:rsidR="0076508B">
              <w:t>.</w:t>
            </w:r>
          </w:p>
        </w:tc>
        <w:tc>
          <w:tcPr>
            <w:tcW w:w="4819" w:type="dxa"/>
          </w:tcPr>
          <w:p w14:paraId="31006DE5" w14:textId="4B6B7442" w:rsidR="00B36D31" w:rsidRDefault="002C7368" w:rsidP="007406B2">
            <w:pPr>
              <w:spacing w:before="0" w:after="0"/>
            </w:pPr>
            <w:r>
              <w:t xml:space="preserve">If </w:t>
            </w:r>
            <w:r w:rsidR="00D275E9">
              <w:t>you</w:t>
            </w:r>
            <w:r w:rsidR="00B36D31">
              <w:t xml:space="preserve"> </w:t>
            </w:r>
            <w:r w:rsidR="00D275E9">
              <w:t xml:space="preserve">are </w:t>
            </w:r>
            <w:r w:rsidR="00B36D31">
              <w:t>not satisfied that the member is in reasonably good health, decide whether to refuse the application</w:t>
            </w:r>
            <w:r w:rsidR="0076508B">
              <w:t>.</w:t>
            </w:r>
          </w:p>
        </w:tc>
        <w:tc>
          <w:tcPr>
            <w:tcW w:w="1701" w:type="dxa"/>
          </w:tcPr>
          <w:p w14:paraId="05DDA689" w14:textId="77777777" w:rsidR="00B36D31" w:rsidRDefault="00B36D31" w:rsidP="00726439">
            <w:pPr>
              <w:spacing w:before="0"/>
            </w:pPr>
            <w:r>
              <w:t>No</w:t>
            </w:r>
          </w:p>
          <w:p w14:paraId="7884A947" w14:textId="7617B091" w:rsidR="00B36D31" w:rsidRDefault="00B36D31" w:rsidP="00726439">
            <w:pPr>
              <w:spacing w:before="0"/>
            </w:pPr>
            <w:r>
              <w:t xml:space="preserve">See </w:t>
            </w:r>
            <w:hyperlink w:anchor="_Note_1" w:history="1">
              <w:r w:rsidRPr="003A659F">
                <w:rPr>
                  <w:rStyle w:val="Hyperlink"/>
                </w:rPr>
                <w:t>Note 1</w:t>
              </w:r>
            </w:hyperlink>
          </w:p>
        </w:tc>
        <w:tc>
          <w:tcPr>
            <w:tcW w:w="1843" w:type="dxa"/>
          </w:tcPr>
          <w:p w14:paraId="145F06C0" w14:textId="408FC7B4" w:rsidR="00B36D31" w:rsidRDefault="00B36D31" w:rsidP="00726439">
            <w:pPr>
              <w:spacing w:before="0"/>
            </w:pPr>
            <w:r>
              <w:t>16(10) of the 2018 Regulations</w:t>
            </w:r>
          </w:p>
        </w:tc>
      </w:tr>
      <w:tr w:rsidR="00B36D31" w14:paraId="35B56C52" w14:textId="77777777" w:rsidTr="00AF5D4D">
        <w:trPr>
          <w:cantSplit/>
        </w:trPr>
        <w:tc>
          <w:tcPr>
            <w:tcW w:w="704" w:type="dxa"/>
          </w:tcPr>
          <w:p w14:paraId="35B6E1D8" w14:textId="7684BABD" w:rsidR="00B36D31" w:rsidRDefault="004F4A0B" w:rsidP="00726439">
            <w:pPr>
              <w:spacing w:before="0"/>
            </w:pPr>
            <w:r>
              <w:t>6</w:t>
            </w:r>
          </w:p>
        </w:tc>
        <w:tc>
          <w:tcPr>
            <w:tcW w:w="2126" w:type="dxa"/>
          </w:tcPr>
          <w:p w14:paraId="6BDF27FA" w14:textId="39586935" w:rsidR="00B36D31" w:rsidRPr="0051535E" w:rsidRDefault="00B36D31" w:rsidP="004A34E8">
            <w:pPr>
              <w:pStyle w:val="Heading3"/>
            </w:pPr>
            <w:bookmarkStart w:id="38" w:name="_Additional_voluntary_contributions"/>
            <w:bookmarkEnd w:id="38"/>
            <w:r w:rsidRPr="0051535E">
              <w:t xml:space="preserve">Additional voluntary contributions </w:t>
            </w:r>
            <w:r w:rsidR="00460487" w:rsidRPr="0051535E">
              <w:br/>
            </w:r>
            <w:r w:rsidRPr="0051535E">
              <w:t>(</w:t>
            </w:r>
            <w:r w:rsidR="001D1C66">
              <w:t>AVC</w:t>
            </w:r>
            <w:r w:rsidRPr="0051535E">
              <w:t>s)</w:t>
            </w:r>
          </w:p>
        </w:tc>
        <w:tc>
          <w:tcPr>
            <w:tcW w:w="3686" w:type="dxa"/>
          </w:tcPr>
          <w:p w14:paraId="6B0D9C07" w14:textId="132BAA7D" w:rsidR="00B36D31" w:rsidRDefault="00B36D31" w:rsidP="00726439">
            <w:pPr>
              <w:spacing w:before="0"/>
            </w:pPr>
            <w:r>
              <w:t>A d</w:t>
            </w:r>
            <w:r w:rsidRPr="004B2B78">
              <w:t xml:space="preserve">eceased member who paid </w:t>
            </w:r>
            <w:r w:rsidR="00460487">
              <w:br/>
            </w:r>
            <w:r w:rsidR="001D1C66">
              <w:t>AVC</w:t>
            </w:r>
            <w:r w:rsidRPr="004B2B78">
              <w:t>s and left active membership after 31 March 2015</w:t>
            </w:r>
            <w:r w:rsidR="0076508B">
              <w:t>.</w:t>
            </w:r>
          </w:p>
        </w:tc>
        <w:tc>
          <w:tcPr>
            <w:tcW w:w="4819" w:type="dxa"/>
          </w:tcPr>
          <w:p w14:paraId="02640FE0" w14:textId="40F82202" w:rsidR="003460E7" w:rsidRDefault="00B36D31" w:rsidP="00726439">
            <w:pPr>
              <w:spacing w:before="0"/>
            </w:pPr>
            <w:r>
              <w:t xml:space="preserve">At </w:t>
            </w:r>
            <w:r w:rsidR="00C14DF2">
              <w:t>your</w:t>
            </w:r>
            <w:r>
              <w:t xml:space="preserve"> absolute discretion, decide </w:t>
            </w:r>
            <w:r w:rsidR="003460E7">
              <w:t xml:space="preserve">who </w:t>
            </w:r>
            <w:r>
              <w:t xml:space="preserve">to pay the </w:t>
            </w:r>
            <w:r w:rsidR="001D1C66">
              <w:t>AVC</w:t>
            </w:r>
            <w:r w:rsidR="003460E7">
              <w:t xml:space="preserve">’s </w:t>
            </w:r>
            <w:r>
              <w:t xml:space="preserve">realisable value, or, as the case may be, </w:t>
            </w:r>
            <w:r w:rsidR="00834F15">
              <w:t>AVC</w:t>
            </w:r>
            <w:r>
              <w:t xml:space="preserve"> life assurance</w:t>
            </w:r>
            <w:r w:rsidR="003460E7">
              <w:t>.</w:t>
            </w:r>
          </w:p>
          <w:p w14:paraId="4C0FF109" w14:textId="5384C6A1" w:rsidR="00B36D31" w:rsidRDefault="00C14DF2" w:rsidP="00726439">
            <w:pPr>
              <w:spacing w:before="0"/>
            </w:pPr>
            <w:r>
              <w:t>You</w:t>
            </w:r>
            <w:r w:rsidR="003460E7">
              <w:t xml:space="preserve"> can pay this</w:t>
            </w:r>
            <w:r w:rsidR="00B36D31">
              <w:t xml:space="preserve"> to, or for the benefit of:</w:t>
            </w:r>
          </w:p>
          <w:p w14:paraId="447AE9E8" w14:textId="7D6052D1" w:rsidR="00B36D31" w:rsidRDefault="00B36D31" w:rsidP="00B032B5">
            <w:pPr>
              <w:pStyle w:val="ListBullet"/>
            </w:pPr>
            <w:r>
              <w:t>the member’s nominee,</w:t>
            </w:r>
          </w:p>
          <w:p w14:paraId="11D1D51B" w14:textId="77777777" w:rsidR="00B36D31" w:rsidRDefault="00B36D31" w:rsidP="00B032B5">
            <w:pPr>
              <w:pStyle w:val="ListBullet"/>
            </w:pPr>
            <w:r>
              <w:t>the personal representative, or</w:t>
            </w:r>
          </w:p>
          <w:p w14:paraId="04279C47" w14:textId="0A783F38" w:rsidR="00B36D31" w:rsidRDefault="00B36D31" w:rsidP="007406B2">
            <w:pPr>
              <w:pStyle w:val="ListBullet"/>
            </w:pPr>
            <w:r>
              <w:t xml:space="preserve">any person appearing to </w:t>
            </w:r>
            <w:r w:rsidR="00C14DF2">
              <w:t>you</w:t>
            </w:r>
            <w:r>
              <w:t xml:space="preserve"> to have been a relative or dependent of the member</w:t>
            </w:r>
            <w:r w:rsidR="0076508B">
              <w:t>.</w:t>
            </w:r>
          </w:p>
        </w:tc>
        <w:tc>
          <w:tcPr>
            <w:tcW w:w="1701" w:type="dxa"/>
          </w:tcPr>
          <w:p w14:paraId="1C3C13E7" w14:textId="77777777" w:rsidR="00B36D31" w:rsidRDefault="00B36D31" w:rsidP="00726439">
            <w:pPr>
              <w:spacing w:before="0"/>
            </w:pPr>
            <w:r>
              <w:t>No</w:t>
            </w:r>
          </w:p>
          <w:p w14:paraId="7EA2FA46" w14:textId="332E8F4C" w:rsidR="00B36D31" w:rsidRDefault="00B36D31" w:rsidP="00726439">
            <w:pPr>
              <w:spacing w:before="0"/>
            </w:pPr>
            <w:r>
              <w:t xml:space="preserve">See </w:t>
            </w:r>
            <w:hyperlink w:anchor="_Note_1" w:history="1">
              <w:r w:rsidRPr="003A659F">
                <w:rPr>
                  <w:rStyle w:val="Hyperlink"/>
                </w:rPr>
                <w:t>Note 1</w:t>
              </w:r>
            </w:hyperlink>
          </w:p>
        </w:tc>
        <w:tc>
          <w:tcPr>
            <w:tcW w:w="1843" w:type="dxa"/>
          </w:tcPr>
          <w:p w14:paraId="4D684F42" w14:textId="329BE48A" w:rsidR="00B36D31" w:rsidRDefault="00B36D31" w:rsidP="00726439">
            <w:pPr>
              <w:spacing w:before="0"/>
            </w:pPr>
            <w:r>
              <w:t>17(12) of the 2018 Regulations</w:t>
            </w:r>
          </w:p>
        </w:tc>
      </w:tr>
      <w:tr w:rsidR="00B36D31" w14:paraId="66D8B637" w14:textId="77777777" w:rsidTr="00AF5D4D">
        <w:trPr>
          <w:cantSplit/>
        </w:trPr>
        <w:tc>
          <w:tcPr>
            <w:tcW w:w="704" w:type="dxa"/>
          </w:tcPr>
          <w:p w14:paraId="1B68422F" w14:textId="417DEE5C" w:rsidR="00B36D31" w:rsidRDefault="00C2181E" w:rsidP="00726439">
            <w:pPr>
              <w:spacing w:before="0"/>
            </w:pPr>
            <w:r>
              <w:lastRenderedPageBreak/>
              <w:t>7</w:t>
            </w:r>
          </w:p>
        </w:tc>
        <w:tc>
          <w:tcPr>
            <w:tcW w:w="2126" w:type="dxa"/>
          </w:tcPr>
          <w:p w14:paraId="638F9BF5" w14:textId="746BACFE" w:rsidR="00B36D31" w:rsidRPr="00FE2BA5" w:rsidRDefault="00B36D31" w:rsidP="004A34E8">
            <w:pPr>
              <w:pStyle w:val="Heading3"/>
            </w:pPr>
            <w:bookmarkStart w:id="39" w:name="_Additional_voluntary_contributions_1"/>
            <w:bookmarkStart w:id="40" w:name="_Toc177711976"/>
            <w:bookmarkEnd w:id="39"/>
            <w:r w:rsidRPr="00FE2BA5">
              <w:t xml:space="preserve">Additional voluntary contributions </w:t>
            </w:r>
            <w:r w:rsidR="00460487" w:rsidRPr="00FE2BA5">
              <w:br/>
            </w:r>
            <w:r w:rsidRPr="00FE2BA5">
              <w:t>(</w:t>
            </w:r>
            <w:r w:rsidR="00834F15">
              <w:t>AVC</w:t>
            </w:r>
            <w:r w:rsidRPr="00FE2BA5">
              <w:t>s)</w:t>
            </w:r>
            <w:bookmarkEnd w:id="40"/>
          </w:p>
        </w:tc>
        <w:tc>
          <w:tcPr>
            <w:tcW w:w="3686" w:type="dxa"/>
          </w:tcPr>
          <w:p w14:paraId="7B4CD304" w14:textId="03772103" w:rsidR="003460E7" w:rsidRDefault="00B36D31" w:rsidP="00726439">
            <w:pPr>
              <w:spacing w:before="0"/>
            </w:pPr>
            <w:r>
              <w:t>A pension credit member</w:t>
            </w:r>
            <w:r w:rsidR="006C436A">
              <w:t xml:space="preserve"> who</w:t>
            </w:r>
            <w:r w:rsidR="003460E7">
              <w:t>:</w:t>
            </w:r>
          </w:p>
          <w:p w14:paraId="339A6C72" w14:textId="19F55208" w:rsidR="003460E7" w:rsidRDefault="00B36D31" w:rsidP="003460E7">
            <w:pPr>
              <w:pStyle w:val="ListBullet"/>
            </w:pPr>
            <w:r>
              <w:t xml:space="preserve">was awarded </w:t>
            </w:r>
            <w:r w:rsidR="00E47F7A">
              <w:t>a share of the member’s</w:t>
            </w:r>
            <w:r w:rsidR="00633CB0">
              <w:t xml:space="preserve"> AVC account </w:t>
            </w:r>
            <w:r>
              <w:t xml:space="preserve">under the 2015 </w:t>
            </w:r>
            <w:r w:rsidR="00AC5363">
              <w:t>Scheme</w:t>
            </w:r>
            <w:r w:rsidR="00566731">
              <w:t xml:space="preserve">, </w:t>
            </w:r>
            <w:r>
              <w:t>and</w:t>
            </w:r>
          </w:p>
          <w:p w14:paraId="23EF7513" w14:textId="0C3A145C" w:rsidR="00B36D31" w:rsidRDefault="00B36D31" w:rsidP="003460E7">
            <w:pPr>
              <w:pStyle w:val="ListBullet"/>
            </w:pPr>
            <w:r>
              <w:t xml:space="preserve">dies before </w:t>
            </w:r>
            <w:r w:rsidR="004F3E44">
              <w:t>receiving payment</w:t>
            </w:r>
            <w:r w:rsidR="0076508B">
              <w:t>.</w:t>
            </w:r>
          </w:p>
          <w:p w14:paraId="28B661A2" w14:textId="3DA7DAC4" w:rsidR="003460E7" w:rsidRDefault="00B36D31" w:rsidP="00F34AC9">
            <w:r>
              <w:t xml:space="preserve">A </w:t>
            </w:r>
            <w:r w:rsidR="003062CE">
              <w:t xml:space="preserve">pension </w:t>
            </w:r>
            <w:r>
              <w:t xml:space="preserve">credit member will be awarded the credit under the 2015 </w:t>
            </w:r>
            <w:r w:rsidR="00AC5363">
              <w:t>Scheme</w:t>
            </w:r>
            <w:r>
              <w:t xml:space="preserve"> if</w:t>
            </w:r>
            <w:r w:rsidR="003460E7">
              <w:t>:</w:t>
            </w:r>
          </w:p>
          <w:p w14:paraId="70C36E35" w14:textId="4928D3AB" w:rsidR="003460E7" w:rsidRDefault="00B36D31" w:rsidP="003460E7">
            <w:pPr>
              <w:pStyle w:val="ListBullet"/>
            </w:pPr>
            <w:r>
              <w:t xml:space="preserve">the </w:t>
            </w:r>
            <w:r w:rsidR="004F3E44">
              <w:t xml:space="preserve">sharing order’s </w:t>
            </w:r>
            <w:r>
              <w:t>effective date is after March 2015</w:t>
            </w:r>
            <w:r w:rsidR="003460E7">
              <w:t>,</w:t>
            </w:r>
            <w:r>
              <w:t xml:space="preserve"> and</w:t>
            </w:r>
          </w:p>
          <w:p w14:paraId="175EF6A0" w14:textId="15A63BEF" w:rsidR="00B36D31" w:rsidRPr="004B2B78" w:rsidRDefault="00B36D31" w:rsidP="003460E7">
            <w:pPr>
              <w:pStyle w:val="ListBullet"/>
            </w:pPr>
            <w:r>
              <w:t xml:space="preserve">the debit member has some </w:t>
            </w:r>
            <w:r w:rsidR="004F3E44">
              <w:t xml:space="preserve">2015 Scheme </w:t>
            </w:r>
            <w:r>
              <w:t>benefits</w:t>
            </w:r>
            <w:r w:rsidR="0076508B">
              <w:t>.</w:t>
            </w:r>
          </w:p>
        </w:tc>
        <w:tc>
          <w:tcPr>
            <w:tcW w:w="4819" w:type="dxa"/>
          </w:tcPr>
          <w:p w14:paraId="5A4C869E" w14:textId="48D7756B" w:rsidR="003460E7" w:rsidRDefault="00B36D31" w:rsidP="00726439">
            <w:pPr>
              <w:spacing w:before="0"/>
            </w:pPr>
            <w:r>
              <w:t xml:space="preserve">At </w:t>
            </w:r>
            <w:r w:rsidR="003C3075">
              <w:t>your</w:t>
            </w:r>
            <w:r>
              <w:t xml:space="preserve"> absolute discretion, decide </w:t>
            </w:r>
            <w:r w:rsidR="003460E7">
              <w:t xml:space="preserve">who </w:t>
            </w:r>
            <w:r>
              <w:t xml:space="preserve">to pay the </w:t>
            </w:r>
            <w:r w:rsidR="00834F15">
              <w:t>AVC</w:t>
            </w:r>
            <w:r w:rsidR="003460E7">
              <w:t xml:space="preserve"> </w:t>
            </w:r>
            <w:r>
              <w:t>realisable value</w:t>
            </w:r>
            <w:r w:rsidR="003460E7">
              <w:t>.</w:t>
            </w:r>
          </w:p>
          <w:p w14:paraId="6694BB9D" w14:textId="4679B895" w:rsidR="003460E7" w:rsidRDefault="003C3075" w:rsidP="003460E7">
            <w:pPr>
              <w:spacing w:before="0"/>
            </w:pPr>
            <w:r>
              <w:t>You</w:t>
            </w:r>
            <w:r w:rsidR="003460E7">
              <w:t xml:space="preserve"> can pay this to, or for the benefit of:</w:t>
            </w:r>
          </w:p>
          <w:p w14:paraId="4A21BA40" w14:textId="527A6497" w:rsidR="00B36D31" w:rsidRDefault="00B36D31" w:rsidP="009D43B1">
            <w:pPr>
              <w:pStyle w:val="ListBullet"/>
            </w:pPr>
            <w:r>
              <w:t xml:space="preserve">the </w:t>
            </w:r>
            <w:r w:rsidR="00D2312F">
              <w:t xml:space="preserve">pension </w:t>
            </w:r>
            <w:r>
              <w:t>credit member’s nominee,</w:t>
            </w:r>
          </w:p>
          <w:p w14:paraId="5E3740DE" w14:textId="7868DF65" w:rsidR="00B36D31" w:rsidRDefault="00B36D31" w:rsidP="009D43B1">
            <w:pPr>
              <w:pStyle w:val="ListBullet"/>
            </w:pPr>
            <w:r>
              <w:t>the</w:t>
            </w:r>
            <w:r w:rsidR="00375CAD">
              <w:t>ir</w:t>
            </w:r>
            <w:r>
              <w:t xml:space="preserve"> personal representative, or</w:t>
            </w:r>
          </w:p>
          <w:p w14:paraId="31280BD4" w14:textId="4ABC0CC2" w:rsidR="00B36D31" w:rsidRDefault="00B36D31" w:rsidP="009D43B1">
            <w:pPr>
              <w:pStyle w:val="ListBullet"/>
            </w:pPr>
            <w:r>
              <w:t xml:space="preserve">any person appearing to </w:t>
            </w:r>
            <w:r w:rsidR="003C3075">
              <w:t>you</w:t>
            </w:r>
            <w:r>
              <w:t xml:space="preserve"> to have been a relative or dependent of the </w:t>
            </w:r>
            <w:r w:rsidR="00EA505C">
              <w:t xml:space="preserve">pension </w:t>
            </w:r>
            <w:r>
              <w:t>credit member</w:t>
            </w:r>
            <w:r w:rsidR="0076508B">
              <w:t>.</w:t>
            </w:r>
          </w:p>
        </w:tc>
        <w:tc>
          <w:tcPr>
            <w:tcW w:w="1701" w:type="dxa"/>
          </w:tcPr>
          <w:p w14:paraId="17759A00" w14:textId="77777777" w:rsidR="00B36D31" w:rsidRDefault="00B36D31" w:rsidP="00726439">
            <w:pPr>
              <w:spacing w:before="0"/>
            </w:pPr>
            <w:r>
              <w:t>No</w:t>
            </w:r>
          </w:p>
          <w:p w14:paraId="685A843A" w14:textId="5369A897" w:rsidR="00B36D31" w:rsidRDefault="00B36D31" w:rsidP="00726439">
            <w:pPr>
              <w:spacing w:before="0"/>
            </w:pPr>
            <w:r>
              <w:t xml:space="preserve">See </w:t>
            </w:r>
            <w:hyperlink w:anchor="_Note_1" w:history="1">
              <w:r w:rsidRPr="003A659F">
                <w:rPr>
                  <w:rStyle w:val="Hyperlink"/>
                </w:rPr>
                <w:t>Note 1</w:t>
              </w:r>
            </w:hyperlink>
          </w:p>
        </w:tc>
        <w:tc>
          <w:tcPr>
            <w:tcW w:w="1843" w:type="dxa"/>
          </w:tcPr>
          <w:p w14:paraId="738F9875" w14:textId="219B511C" w:rsidR="00B36D31" w:rsidRDefault="00B36D31" w:rsidP="00726439">
            <w:pPr>
              <w:spacing w:before="0"/>
            </w:pPr>
            <w:r>
              <w:t>17(12) of the 2018 Regulations</w:t>
            </w:r>
          </w:p>
        </w:tc>
      </w:tr>
      <w:tr w:rsidR="00B36D31" w14:paraId="198CCF1A" w14:textId="77777777" w:rsidTr="00AF5D4D">
        <w:trPr>
          <w:cantSplit/>
        </w:trPr>
        <w:tc>
          <w:tcPr>
            <w:tcW w:w="704" w:type="dxa"/>
          </w:tcPr>
          <w:p w14:paraId="00A89700" w14:textId="668BD71E" w:rsidR="00B36D31" w:rsidRDefault="00E5070D" w:rsidP="00F50198">
            <w:pPr>
              <w:spacing w:before="0"/>
            </w:pPr>
            <w:r>
              <w:t>8</w:t>
            </w:r>
          </w:p>
        </w:tc>
        <w:tc>
          <w:tcPr>
            <w:tcW w:w="2126" w:type="dxa"/>
          </w:tcPr>
          <w:p w14:paraId="3F1296ED" w14:textId="3E4D2D40" w:rsidR="00B36D31" w:rsidRPr="002249D0" w:rsidRDefault="00B36D31" w:rsidP="004A34E8">
            <w:pPr>
              <w:pStyle w:val="Heading3"/>
            </w:pPr>
            <w:bookmarkStart w:id="41" w:name="_Admission_agreements"/>
            <w:bookmarkStart w:id="42" w:name="_Toc177711978"/>
            <w:bookmarkEnd w:id="41"/>
            <w:r w:rsidRPr="002249D0">
              <w:t>Admission agreements</w:t>
            </w:r>
            <w:bookmarkEnd w:id="42"/>
          </w:p>
        </w:tc>
        <w:tc>
          <w:tcPr>
            <w:tcW w:w="3686" w:type="dxa"/>
          </w:tcPr>
          <w:p w14:paraId="5C15FB0D" w14:textId="43D14F64" w:rsidR="00B36D31" w:rsidRDefault="00032851" w:rsidP="00F50198">
            <w:pPr>
              <w:spacing w:before="0"/>
            </w:pPr>
            <w:r>
              <w:t xml:space="preserve">An employer applying to participate </w:t>
            </w:r>
            <w:r w:rsidR="00C70C7B">
              <w:t xml:space="preserve">in the LGPS </w:t>
            </w:r>
            <w:r>
              <w:t>under an admission agreement</w:t>
            </w:r>
            <w:r w:rsidR="00DE0582">
              <w:t>.</w:t>
            </w:r>
          </w:p>
        </w:tc>
        <w:tc>
          <w:tcPr>
            <w:tcW w:w="4819" w:type="dxa"/>
          </w:tcPr>
          <w:p w14:paraId="4734DAD0" w14:textId="300C29A9" w:rsidR="00B36D31" w:rsidRDefault="00FD26BA" w:rsidP="00F50198">
            <w:pPr>
              <w:spacing w:before="0"/>
            </w:pPr>
            <w:r>
              <w:t>Decide w</w:t>
            </w:r>
            <w:r w:rsidR="00B36D31">
              <w:t xml:space="preserve">hether to agree to </w:t>
            </w:r>
            <w:r w:rsidR="00032851">
              <w:t>the</w:t>
            </w:r>
            <w:r w:rsidR="00B36D31">
              <w:t xml:space="preserve"> admission agreement</w:t>
            </w:r>
            <w:r w:rsidR="0076508B">
              <w:t>.</w:t>
            </w:r>
          </w:p>
        </w:tc>
        <w:tc>
          <w:tcPr>
            <w:tcW w:w="1701" w:type="dxa"/>
          </w:tcPr>
          <w:p w14:paraId="1167A143" w14:textId="77777777" w:rsidR="00B36D31" w:rsidRDefault="00B36D31" w:rsidP="00F50198">
            <w:pPr>
              <w:spacing w:before="0"/>
            </w:pPr>
            <w:r>
              <w:t>No</w:t>
            </w:r>
          </w:p>
          <w:p w14:paraId="16A537F4" w14:textId="7B268FCD" w:rsidR="00B36D31" w:rsidRDefault="00B36D31" w:rsidP="00F50198">
            <w:pPr>
              <w:spacing w:before="0"/>
            </w:pPr>
            <w:r>
              <w:t xml:space="preserve">See </w:t>
            </w:r>
            <w:hyperlink w:anchor="_Note_1" w:history="1">
              <w:r w:rsidRPr="003A659F">
                <w:rPr>
                  <w:rStyle w:val="Hyperlink"/>
                </w:rPr>
                <w:t>Note 1</w:t>
              </w:r>
            </w:hyperlink>
          </w:p>
        </w:tc>
        <w:tc>
          <w:tcPr>
            <w:tcW w:w="1843" w:type="dxa"/>
          </w:tcPr>
          <w:p w14:paraId="5B60543F" w14:textId="25DE7206" w:rsidR="00B36D31" w:rsidRDefault="00B36D31" w:rsidP="008F253C">
            <w:pPr>
              <w:spacing w:before="0" w:after="0"/>
            </w:pPr>
            <w:r>
              <w:t>3(4) of, and paragraph 1 of part 2 of schedule 2 to, the 2018 Regulations</w:t>
            </w:r>
          </w:p>
        </w:tc>
      </w:tr>
      <w:tr w:rsidR="00B36D31" w14:paraId="1F190378" w14:textId="77777777" w:rsidTr="00AF5D4D">
        <w:trPr>
          <w:cantSplit/>
        </w:trPr>
        <w:tc>
          <w:tcPr>
            <w:tcW w:w="704" w:type="dxa"/>
          </w:tcPr>
          <w:p w14:paraId="09C63E3A" w14:textId="20F39C54" w:rsidR="00B36D31" w:rsidRDefault="00F21BA6" w:rsidP="00F50198">
            <w:pPr>
              <w:spacing w:before="0"/>
            </w:pPr>
            <w:r>
              <w:lastRenderedPageBreak/>
              <w:t>9</w:t>
            </w:r>
          </w:p>
        </w:tc>
        <w:tc>
          <w:tcPr>
            <w:tcW w:w="2126" w:type="dxa"/>
          </w:tcPr>
          <w:p w14:paraId="3B029241" w14:textId="151CB7DC" w:rsidR="00B36D31" w:rsidRPr="00E87AD1" w:rsidRDefault="00B36D31" w:rsidP="004A34E8">
            <w:pPr>
              <w:pStyle w:val="Heading3"/>
            </w:pPr>
            <w:bookmarkStart w:id="43" w:name="_Admission_agreements_1"/>
            <w:bookmarkStart w:id="44" w:name="_Toc177711979"/>
            <w:bookmarkEnd w:id="43"/>
            <w:r w:rsidRPr="00E87AD1">
              <w:t>Admission agreements</w:t>
            </w:r>
            <w:bookmarkEnd w:id="44"/>
          </w:p>
        </w:tc>
        <w:tc>
          <w:tcPr>
            <w:tcW w:w="3686" w:type="dxa"/>
          </w:tcPr>
          <w:p w14:paraId="6CB198FC" w14:textId="205D5C36" w:rsidR="00B36D31" w:rsidRDefault="004B46B3" w:rsidP="00F50198">
            <w:pPr>
              <w:spacing w:before="0"/>
            </w:pPr>
            <w:r>
              <w:t>An a</w:t>
            </w:r>
            <w:r w:rsidR="00B36D31" w:rsidRPr="00263CCF">
              <w:t>dmitted body</w:t>
            </w:r>
            <w:r w:rsidR="00B36D31">
              <w:t xml:space="preserve"> whose employees are covered by an admission agreement</w:t>
            </w:r>
            <w:r w:rsidR="0076508B">
              <w:t>.</w:t>
            </w:r>
          </w:p>
        </w:tc>
        <w:tc>
          <w:tcPr>
            <w:tcW w:w="4819" w:type="dxa"/>
          </w:tcPr>
          <w:p w14:paraId="0F314D9D" w14:textId="64C41C0B" w:rsidR="00B36D31" w:rsidRDefault="003B004A" w:rsidP="00F50198">
            <w:pPr>
              <w:spacing w:before="0"/>
            </w:pPr>
            <w:r>
              <w:t>Decide w</w:t>
            </w:r>
            <w:r w:rsidR="00B36D31">
              <w:t xml:space="preserve">hether to </w:t>
            </w:r>
            <w:r w:rsidR="00E529DA">
              <w:t>end</w:t>
            </w:r>
            <w:r w:rsidR="00B36D31">
              <w:t xml:space="preserve"> the agreement in the event of:</w:t>
            </w:r>
          </w:p>
          <w:p w14:paraId="72B1712B" w14:textId="78C527DB" w:rsidR="00B36D31" w:rsidRDefault="00B36D31" w:rsidP="00F50198">
            <w:pPr>
              <w:pStyle w:val="ListBullet"/>
            </w:pPr>
            <w:r>
              <w:t>insolvency, winding up or liquidation of the body,</w:t>
            </w:r>
          </w:p>
          <w:p w14:paraId="6F285A43" w14:textId="19ED6FDA" w:rsidR="00B36D31" w:rsidRDefault="00B36D31" w:rsidP="00F50198">
            <w:pPr>
              <w:pStyle w:val="ListBullet"/>
            </w:pPr>
            <w:r>
              <w:t xml:space="preserve">a material breach by the body of any of its obligations under the agreement or the </w:t>
            </w:r>
            <w:r w:rsidR="00AF1B4E">
              <w:t>LGPS</w:t>
            </w:r>
            <w:r>
              <w:t xml:space="preserve"> regulations which </w:t>
            </w:r>
            <w:r w:rsidR="00683718">
              <w:t xml:space="preserve">it </w:t>
            </w:r>
            <w:r>
              <w:t>has not remedied within a reason</w:t>
            </w:r>
            <w:r w:rsidR="004B46B3">
              <w:t>able</w:t>
            </w:r>
            <w:r>
              <w:t xml:space="preserve"> time,</w:t>
            </w:r>
            <w:r w:rsidR="004B46B3">
              <w:t xml:space="preserve"> or</w:t>
            </w:r>
          </w:p>
          <w:p w14:paraId="7446DF6C" w14:textId="02A0625C" w:rsidR="00B36D31" w:rsidRDefault="00B36D31" w:rsidP="008F253C">
            <w:pPr>
              <w:pStyle w:val="ListBullet"/>
            </w:pPr>
            <w:r>
              <w:t xml:space="preserve">a failure by the body to pay any sums due to the fund within a reasonable period after </w:t>
            </w:r>
            <w:r w:rsidR="00683718">
              <w:t xml:space="preserve">receiving </w:t>
            </w:r>
            <w:r>
              <w:t xml:space="preserve">notice from </w:t>
            </w:r>
            <w:r w:rsidR="003B004A">
              <w:t>you</w:t>
            </w:r>
            <w:r>
              <w:t xml:space="preserve"> requiring it to do so</w:t>
            </w:r>
            <w:r w:rsidR="0076508B">
              <w:t>.</w:t>
            </w:r>
          </w:p>
        </w:tc>
        <w:tc>
          <w:tcPr>
            <w:tcW w:w="1701" w:type="dxa"/>
          </w:tcPr>
          <w:p w14:paraId="76D521A5" w14:textId="77777777" w:rsidR="00B36D31" w:rsidRDefault="00B36D31" w:rsidP="00F50198">
            <w:pPr>
              <w:spacing w:before="0"/>
            </w:pPr>
            <w:r>
              <w:t>No</w:t>
            </w:r>
          </w:p>
          <w:p w14:paraId="5DF63761" w14:textId="7C7A31CB" w:rsidR="00B36D31" w:rsidRDefault="00B36D31" w:rsidP="00F50198">
            <w:pPr>
              <w:spacing w:before="0"/>
            </w:pPr>
            <w:r>
              <w:t xml:space="preserve">See </w:t>
            </w:r>
            <w:hyperlink w:anchor="_Note_1" w:history="1">
              <w:r w:rsidRPr="003A659F">
                <w:rPr>
                  <w:rStyle w:val="Hyperlink"/>
                </w:rPr>
                <w:t>Note 1</w:t>
              </w:r>
            </w:hyperlink>
          </w:p>
        </w:tc>
        <w:tc>
          <w:tcPr>
            <w:tcW w:w="1843" w:type="dxa"/>
          </w:tcPr>
          <w:p w14:paraId="49B77BE6" w14:textId="1693CCC8" w:rsidR="00B36D31" w:rsidRDefault="00B36D31" w:rsidP="00F50198">
            <w:pPr>
              <w:spacing w:before="0"/>
            </w:pPr>
            <w:r>
              <w:t>Paragraph 9(d) of part 2 of schedule 2 to, the 2018 Regulations</w:t>
            </w:r>
          </w:p>
        </w:tc>
      </w:tr>
      <w:tr w:rsidR="00082776" w14:paraId="47F3AC2C" w14:textId="77777777" w:rsidTr="00AF5D4D">
        <w:trPr>
          <w:cantSplit/>
        </w:trPr>
        <w:tc>
          <w:tcPr>
            <w:tcW w:w="704" w:type="dxa"/>
          </w:tcPr>
          <w:p w14:paraId="50BE761F" w14:textId="571236D3" w:rsidR="00082776" w:rsidRDefault="00082776" w:rsidP="00F50198">
            <w:pPr>
              <w:spacing w:before="0"/>
            </w:pPr>
            <w:r>
              <w:t>1</w:t>
            </w:r>
            <w:r w:rsidR="00CD479B">
              <w:t>0</w:t>
            </w:r>
          </w:p>
        </w:tc>
        <w:tc>
          <w:tcPr>
            <w:tcW w:w="2126" w:type="dxa"/>
          </w:tcPr>
          <w:p w14:paraId="35C669D7" w14:textId="1108FB01" w:rsidR="00082776" w:rsidRPr="00E87AD1" w:rsidRDefault="00082776" w:rsidP="004A34E8">
            <w:pPr>
              <w:pStyle w:val="Heading3"/>
            </w:pPr>
            <w:bookmarkStart w:id="45" w:name="_Admission_agreements_2"/>
            <w:bookmarkStart w:id="46" w:name="_Toc177711980"/>
            <w:bookmarkEnd w:id="45"/>
            <w:r w:rsidRPr="00E87AD1">
              <w:t>Admission agreements</w:t>
            </w:r>
            <w:bookmarkEnd w:id="46"/>
          </w:p>
        </w:tc>
        <w:tc>
          <w:tcPr>
            <w:tcW w:w="3686" w:type="dxa"/>
          </w:tcPr>
          <w:p w14:paraId="1BB536A0" w14:textId="77777777" w:rsidR="004727D1" w:rsidRDefault="004B46B3" w:rsidP="00F50198">
            <w:pPr>
              <w:spacing w:before="0"/>
            </w:pPr>
            <w:r>
              <w:t>An a</w:t>
            </w:r>
            <w:r w:rsidR="00082776" w:rsidRPr="00263CCF">
              <w:t>dmitted body</w:t>
            </w:r>
            <w:r w:rsidR="004727D1">
              <w:t>:</w:t>
            </w:r>
          </w:p>
          <w:p w14:paraId="449ABE5D" w14:textId="77777777" w:rsidR="00082776" w:rsidRDefault="00082776" w:rsidP="004727D1">
            <w:pPr>
              <w:pStyle w:val="ListBullet"/>
            </w:pPr>
            <w:r>
              <w:t>whose employees are covered by an admission agreement</w:t>
            </w:r>
            <w:r w:rsidR="004727D1">
              <w:t>, and</w:t>
            </w:r>
          </w:p>
          <w:p w14:paraId="17D72A22" w14:textId="41ECA5DA" w:rsidR="004727D1" w:rsidRPr="00263CCF" w:rsidRDefault="004727D1" w:rsidP="00FC07BF">
            <w:pPr>
              <w:pStyle w:val="ListBullet"/>
            </w:pPr>
            <w:r>
              <w:t xml:space="preserve">who falls within paragraph 1(d) of part 2 of </w:t>
            </w:r>
            <w:r w:rsidR="00CD479B">
              <w:t xml:space="preserve">schedule 2 to </w:t>
            </w:r>
            <w:r>
              <w:t>the 2018 Regulations</w:t>
            </w:r>
            <w:r w:rsidR="0010206C">
              <w:t>.</w:t>
            </w:r>
          </w:p>
        </w:tc>
        <w:tc>
          <w:tcPr>
            <w:tcW w:w="4819" w:type="dxa"/>
          </w:tcPr>
          <w:p w14:paraId="347829B4" w14:textId="3095CF83" w:rsidR="00082776" w:rsidRDefault="00082776" w:rsidP="00F50198">
            <w:pPr>
              <w:spacing w:before="0"/>
            </w:pPr>
            <w:r>
              <w:t>Define what is meant by “employed in connection with”.</w:t>
            </w:r>
          </w:p>
        </w:tc>
        <w:tc>
          <w:tcPr>
            <w:tcW w:w="1701" w:type="dxa"/>
          </w:tcPr>
          <w:p w14:paraId="63AAA9A1" w14:textId="77777777" w:rsidR="00082776" w:rsidRDefault="00082776" w:rsidP="00082776">
            <w:pPr>
              <w:spacing w:before="0"/>
            </w:pPr>
            <w:r>
              <w:t>No</w:t>
            </w:r>
          </w:p>
          <w:p w14:paraId="00E49F95" w14:textId="253A69E5" w:rsidR="00082776" w:rsidRDefault="00082776" w:rsidP="00082776">
            <w:pPr>
              <w:spacing w:before="0"/>
            </w:pPr>
            <w:r>
              <w:t xml:space="preserve">See </w:t>
            </w:r>
            <w:hyperlink w:anchor="_Note_1" w:history="1">
              <w:r w:rsidRPr="003A659F">
                <w:rPr>
                  <w:rStyle w:val="Hyperlink"/>
                </w:rPr>
                <w:t>Note 1</w:t>
              </w:r>
            </w:hyperlink>
          </w:p>
        </w:tc>
        <w:tc>
          <w:tcPr>
            <w:tcW w:w="1843" w:type="dxa"/>
          </w:tcPr>
          <w:p w14:paraId="5DCACBA7" w14:textId="32BC80C7" w:rsidR="00082776" w:rsidRDefault="00082776" w:rsidP="00F50198">
            <w:pPr>
              <w:spacing w:before="0"/>
            </w:pPr>
            <w:r>
              <w:t>Paragraph 12(a) of part 2 of schedule 2 to, the 2018 Regulations</w:t>
            </w:r>
          </w:p>
        </w:tc>
      </w:tr>
      <w:tr w:rsidR="00B36D31" w14:paraId="2C766B90" w14:textId="77777777" w:rsidTr="00AF5D4D">
        <w:trPr>
          <w:cantSplit/>
        </w:trPr>
        <w:tc>
          <w:tcPr>
            <w:tcW w:w="704" w:type="dxa"/>
          </w:tcPr>
          <w:p w14:paraId="20183977" w14:textId="2C029FCD" w:rsidR="00B36D31" w:rsidRDefault="00B36D31" w:rsidP="00B03D9C">
            <w:pPr>
              <w:spacing w:before="0"/>
            </w:pPr>
            <w:r>
              <w:lastRenderedPageBreak/>
              <w:t>1</w:t>
            </w:r>
            <w:r w:rsidR="00CD479B">
              <w:t>1</w:t>
            </w:r>
          </w:p>
        </w:tc>
        <w:tc>
          <w:tcPr>
            <w:tcW w:w="2126" w:type="dxa"/>
          </w:tcPr>
          <w:p w14:paraId="13A3D3A2" w14:textId="5BE94C12" w:rsidR="00B36D31" w:rsidRPr="00130028" w:rsidRDefault="00B36D31" w:rsidP="004A34E8">
            <w:pPr>
              <w:pStyle w:val="Heading3"/>
            </w:pPr>
            <w:bookmarkStart w:id="47" w:name="_Admission_agreements_3"/>
            <w:bookmarkStart w:id="48" w:name="_Toc177711981"/>
            <w:bookmarkEnd w:id="47"/>
            <w:r w:rsidRPr="00130028">
              <w:t>Admission agreements</w:t>
            </w:r>
            <w:bookmarkEnd w:id="48"/>
          </w:p>
        </w:tc>
        <w:tc>
          <w:tcPr>
            <w:tcW w:w="3686" w:type="dxa"/>
          </w:tcPr>
          <w:p w14:paraId="0EFAB20A" w14:textId="1A00DF82" w:rsidR="00B36D31" w:rsidRDefault="004B46B3" w:rsidP="00FC07BF">
            <w:pPr>
              <w:spacing w:before="0" w:after="0"/>
            </w:pPr>
            <w:r>
              <w:t>An a</w:t>
            </w:r>
            <w:r w:rsidR="00B36D31" w:rsidRPr="00263CCF">
              <w:t>dmitted body</w:t>
            </w:r>
            <w:r w:rsidR="00B36D31">
              <w:t xml:space="preserve"> whose employees are covered by an admission agreement</w:t>
            </w:r>
            <w:r w:rsidR="0076508B">
              <w:t>.</w:t>
            </w:r>
          </w:p>
        </w:tc>
        <w:tc>
          <w:tcPr>
            <w:tcW w:w="4819" w:type="dxa"/>
          </w:tcPr>
          <w:p w14:paraId="428CE859" w14:textId="5889D1D6" w:rsidR="00B36D31" w:rsidRDefault="00446DC2" w:rsidP="00B03D9C">
            <w:pPr>
              <w:spacing w:before="0"/>
            </w:pPr>
            <w:r>
              <w:t>Decide w</w:t>
            </w:r>
            <w:r w:rsidR="00B36D31">
              <w:t xml:space="preserve">hether to </w:t>
            </w:r>
            <w:r w:rsidR="003675DC">
              <w:t>create</w:t>
            </w:r>
            <w:r w:rsidR="00B36D31">
              <w:t xml:space="preserve"> a separate pension fund for specified admitted bodies</w:t>
            </w:r>
            <w:r w:rsidR="0076508B">
              <w:t>.</w:t>
            </w:r>
          </w:p>
        </w:tc>
        <w:tc>
          <w:tcPr>
            <w:tcW w:w="1701" w:type="dxa"/>
          </w:tcPr>
          <w:p w14:paraId="2F125838" w14:textId="77777777" w:rsidR="00B36D31" w:rsidRDefault="00B36D31" w:rsidP="00B03D9C">
            <w:pPr>
              <w:spacing w:before="0"/>
            </w:pPr>
            <w:r>
              <w:t>No</w:t>
            </w:r>
          </w:p>
          <w:p w14:paraId="32BA7972" w14:textId="0F6BA129" w:rsidR="00B36D31" w:rsidRDefault="00B36D31" w:rsidP="00B03D9C">
            <w:pPr>
              <w:spacing w:before="0"/>
            </w:pPr>
            <w:r>
              <w:t xml:space="preserve">See </w:t>
            </w:r>
            <w:hyperlink w:anchor="_Note_1" w:history="1">
              <w:r w:rsidRPr="003A659F">
                <w:rPr>
                  <w:rStyle w:val="Hyperlink"/>
                </w:rPr>
                <w:t>Note 1</w:t>
              </w:r>
            </w:hyperlink>
          </w:p>
        </w:tc>
        <w:tc>
          <w:tcPr>
            <w:tcW w:w="1843" w:type="dxa"/>
          </w:tcPr>
          <w:p w14:paraId="36D1DF75" w14:textId="6333DF20" w:rsidR="00B36D31" w:rsidRDefault="00B36D31" w:rsidP="00FC07BF">
            <w:pPr>
              <w:spacing w:before="0" w:after="0"/>
            </w:pPr>
            <w:r>
              <w:t>52(1) of the 2018 Regulations</w:t>
            </w:r>
          </w:p>
        </w:tc>
      </w:tr>
      <w:tr w:rsidR="00B36D31" w14:paraId="701F41BA" w14:textId="77777777" w:rsidTr="00AF5D4D">
        <w:trPr>
          <w:cantSplit/>
        </w:trPr>
        <w:tc>
          <w:tcPr>
            <w:tcW w:w="704" w:type="dxa"/>
          </w:tcPr>
          <w:p w14:paraId="7D73B64C" w14:textId="1C0ADEA9" w:rsidR="00B36D31" w:rsidRDefault="00B36D31" w:rsidP="00D56CFF">
            <w:pPr>
              <w:spacing w:before="0"/>
            </w:pPr>
            <w:r>
              <w:lastRenderedPageBreak/>
              <w:t>1</w:t>
            </w:r>
            <w:r w:rsidR="00CF7B60">
              <w:t>2</w:t>
            </w:r>
          </w:p>
        </w:tc>
        <w:tc>
          <w:tcPr>
            <w:tcW w:w="2126" w:type="dxa"/>
          </w:tcPr>
          <w:p w14:paraId="3674B72A" w14:textId="63CE53DA" w:rsidR="00B36D31" w:rsidRPr="00E63E3C" w:rsidRDefault="00B36D31" w:rsidP="004A34E8">
            <w:pPr>
              <w:pStyle w:val="Heading3"/>
            </w:pPr>
            <w:bookmarkStart w:id="49" w:name="_Aggregation"/>
            <w:bookmarkEnd w:id="49"/>
            <w:r w:rsidRPr="00E63E3C">
              <w:t>Aggregation</w:t>
            </w:r>
          </w:p>
        </w:tc>
        <w:tc>
          <w:tcPr>
            <w:tcW w:w="3686" w:type="dxa"/>
          </w:tcPr>
          <w:p w14:paraId="132D2B00" w14:textId="6C878171" w:rsidR="00B36D31" w:rsidRDefault="00B36D31" w:rsidP="0003030F">
            <w:pPr>
              <w:spacing w:before="0"/>
            </w:pPr>
            <w:r>
              <w:t>A member</w:t>
            </w:r>
            <w:r w:rsidR="009D1150">
              <w:t xml:space="preserve"> who</w:t>
            </w:r>
            <w:r>
              <w:t>:</w:t>
            </w:r>
          </w:p>
          <w:p w14:paraId="1369BCDD" w14:textId="257DAD89" w:rsidR="00B36D31" w:rsidRPr="00C92005" w:rsidRDefault="00B36D31" w:rsidP="00375B06">
            <w:pPr>
              <w:pStyle w:val="ListBullet"/>
            </w:pPr>
            <w:r w:rsidRPr="00C92005">
              <w:t xml:space="preserve">left after </w:t>
            </w:r>
            <w:r w:rsidR="00790B91">
              <w:t>31 March</w:t>
            </w:r>
            <w:r w:rsidRPr="00C92005">
              <w:t xml:space="preserve"> 2015 with </w:t>
            </w:r>
            <w:r w:rsidR="006925E7">
              <w:t xml:space="preserve">a </w:t>
            </w:r>
            <w:r w:rsidRPr="00C92005">
              <w:t xml:space="preserve">deferred benefit </w:t>
            </w:r>
            <w:r w:rsidR="006925E7">
              <w:t>or</w:t>
            </w:r>
            <w:r w:rsidRPr="00C92005">
              <w:t xml:space="preserve"> deferred refund </w:t>
            </w:r>
            <w:r w:rsidR="009D1150">
              <w:t>that</w:t>
            </w:r>
            <w:r w:rsidRPr="00C92005">
              <w:t xml:space="preserve"> include</w:t>
            </w:r>
            <w:r>
              <w:t>s</w:t>
            </w:r>
            <w:r w:rsidRPr="00C92005">
              <w:t xml:space="preserve"> pre-April 15 benefits,</w:t>
            </w:r>
          </w:p>
          <w:p w14:paraId="229224E1" w14:textId="76401A90" w:rsidR="00B36D31" w:rsidRPr="00C92005" w:rsidRDefault="00B36D31" w:rsidP="00C92005">
            <w:pPr>
              <w:pStyle w:val="ListBullet"/>
            </w:pPr>
            <w:r w:rsidRPr="00C92005">
              <w:t xml:space="preserve">continues in active membership in two or more concurrent employments </w:t>
            </w:r>
            <w:r w:rsidR="009D1150">
              <w:t>that</w:t>
            </w:r>
            <w:r w:rsidRPr="00C92005">
              <w:t xml:space="preserve"> include </w:t>
            </w:r>
            <w:r w:rsidR="00790B91">
              <w:t>pre-April 15 membership</w:t>
            </w:r>
            <w:r w:rsidRPr="00C92005">
              <w:t>,</w:t>
            </w:r>
          </w:p>
          <w:p w14:paraId="61646C62" w14:textId="240AA164" w:rsidR="00B36D31" w:rsidRPr="00C92005" w:rsidRDefault="009D1150" w:rsidP="00C92005">
            <w:pPr>
              <w:pStyle w:val="ListBullet"/>
            </w:pPr>
            <w:r>
              <w:t>will have their</w:t>
            </w:r>
            <w:r w:rsidR="00B36D31" w:rsidRPr="00C92005">
              <w:t xml:space="preserve"> deferred benefit</w:t>
            </w:r>
            <w:r w:rsidR="006925E7">
              <w:t>s or</w:t>
            </w:r>
            <w:r w:rsidR="00B36D31" w:rsidRPr="00C92005">
              <w:t xml:space="preserve"> deferred refund aggregated to one of the continuing employments, and</w:t>
            </w:r>
          </w:p>
          <w:p w14:paraId="36A38A4B" w14:textId="02CA5CCE" w:rsidR="00B36D31" w:rsidRDefault="00B36D31" w:rsidP="00AD1A3D">
            <w:pPr>
              <w:pStyle w:val="ListBullet"/>
            </w:pPr>
            <w:r w:rsidRPr="00C92005">
              <w:t xml:space="preserve">did not </w:t>
            </w:r>
            <w:r w:rsidR="006E357D">
              <w:t>specify</w:t>
            </w:r>
            <w:r w:rsidR="009D1150">
              <w:t xml:space="preserve"> within </w:t>
            </w:r>
            <w:r w:rsidR="009D1150" w:rsidRPr="00C92005">
              <w:t xml:space="preserve">12 months of </w:t>
            </w:r>
            <w:r w:rsidR="009D1150">
              <w:t xml:space="preserve">ceasing the employment </w:t>
            </w:r>
            <w:r w:rsidR="00D32F7E">
              <w:t xml:space="preserve">to </w:t>
            </w:r>
            <w:r w:rsidRPr="00C92005">
              <w:t>which continuing employment to aggregate</w:t>
            </w:r>
            <w:r w:rsidR="00825DE0">
              <w:t>.</w:t>
            </w:r>
          </w:p>
        </w:tc>
        <w:tc>
          <w:tcPr>
            <w:tcW w:w="4819" w:type="dxa"/>
          </w:tcPr>
          <w:p w14:paraId="3AFD3663" w14:textId="6AD46A89" w:rsidR="00B36D31" w:rsidRDefault="00B36D31" w:rsidP="00D56CFF">
            <w:pPr>
              <w:spacing w:before="0"/>
            </w:pPr>
            <w:r>
              <w:t>Decide on behalf of the member to which continuing employment to aggregate the pre-April 2015 benefits</w:t>
            </w:r>
            <w:r w:rsidR="0076508B">
              <w:t>.</w:t>
            </w:r>
          </w:p>
        </w:tc>
        <w:tc>
          <w:tcPr>
            <w:tcW w:w="1701" w:type="dxa"/>
          </w:tcPr>
          <w:p w14:paraId="2DE81226" w14:textId="77777777" w:rsidR="00B36D31" w:rsidRDefault="00B36D31" w:rsidP="00D56CFF">
            <w:pPr>
              <w:spacing w:before="0"/>
            </w:pPr>
            <w:r>
              <w:t>No</w:t>
            </w:r>
          </w:p>
          <w:p w14:paraId="1F1C5752" w14:textId="62DC063C" w:rsidR="00B36D31" w:rsidRDefault="00B36D31" w:rsidP="00D56CFF">
            <w:pPr>
              <w:spacing w:before="0"/>
            </w:pPr>
            <w:r>
              <w:t xml:space="preserve">See </w:t>
            </w:r>
            <w:hyperlink w:anchor="_Note_1" w:history="1">
              <w:r w:rsidRPr="003A659F">
                <w:rPr>
                  <w:rStyle w:val="Hyperlink"/>
                </w:rPr>
                <w:t>Note 1</w:t>
              </w:r>
            </w:hyperlink>
          </w:p>
        </w:tc>
        <w:tc>
          <w:tcPr>
            <w:tcW w:w="1843" w:type="dxa"/>
          </w:tcPr>
          <w:p w14:paraId="1D4EB916" w14:textId="73634B60" w:rsidR="00B36D31" w:rsidRDefault="00B36D31" w:rsidP="00D56CFF">
            <w:pPr>
              <w:spacing w:before="0"/>
            </w:pPr>
            <w:r>
              <w:t>10(9) of the 2014 Transitional Regulations</w:t>
            </w:r>
          </w:p>
        </w:tc>
      </w:tr>
      <w:tr w:rsidR="00B36D31" w14:paraId="763B60C9" w14:textId="77777777" w:rsidTr="00AF5D4D">
        <w:trPr>
          <w:cantSplit/>
        </w:trPr>
        <w:tc>
          <w:tcPr>
            <w:tcW w:w="704" w:type="dxa"/>
          </w:tcPr>
          <w:p w14:paraId="6DF50C7C" w14:textId="49ACB48B" w:rsidR="00B36D31" w:rsidRDefault="00B36D31" w:rsidP="00465841">
            <w:pPr>
              <w:spacing w:before="0"/>
            </w:pPr>
            <w:r>
              <w:lastRenderedPageBreak/>
              <w:t>1</w:t>
            </w:r>
            <w:r w:rsidR="00CF7B60">
              <w:t>3</w:t>
            </w:r>
          </w:p>
        </w:tc>
        <w:tc>
          <w:tcPr>
            <w:tcW w:w="2126" w:type="dxa"/>
          </w:tcPr>
          <w:p w14:paraId="05153084" w14:textId="231B6B6D" w:rsidR="00B36D31" w:rsidRPr="00590C17" w:rsidRDefault="00B36D31" w:rsidP="004A34E8">
            <w:pPr>
              <w:pStyle w:val="Heading3"/>
            </w:pPr>
            <w:bookmarkStart w:id="50" w:name="_Annual_benefit_statements"/>
            <w:bookmarkEnd w:id="50"/>
            <w:r w:rsidRPr="00590C17">
              <w:t>Annual benefit statements</w:t>
            </w:r>
          </w:p>
        </w:tc>
        <w:tc>
          <w:tcPr>
            <w:tcW w:w="3686" w:type="dxa"/>
          </w:tcPr>
          <w:p w14:paraId="2337EB18" w14:textId="6C51B408" w:rsidR="00B36D31" w:rsidRDefault="00B36D31" w:rsidP="00465841">
            <w:pPr>
              <w:spacing w:before="0"/>
            </w:pPr>
            <w:r>
              <w:t>A member who:</w:t>
            </w:r>
          </w:p>
          <w:p w14:paraId="12DE5FAE" w14:textId="26EE6DA8" w:rsidR="00B36D31" w:rsidRDefault="00B36D31" w:rsidP="00465841">
            <w:pPr>
              <w:pStyle w:val="ListBullet"/>
            </w:pPr>
            <w:r>
              <w:t>left with deferred benefits before 1 April 2015,</w:t>
            </w:r>
            <w:r w:rsidR="0010206C">
              <w:t xml:space="preserve"> </w:t>
            </w:r>
            <w:r>
              <w:t>or</w:t>
            </w:r>
          </w:p>
          <w:p w14:paraId="56B50AC6" w14:textId="06D6B3AA" w:rsidR="00B36D31" w:rsidRDefault="00B36D31" w:rsidP="00465841">
            <w:pPr>
              <w:pStyle w:val="ListBullet"/>
            </w:pPr>
            <w:r>
              <w:t>was awarded a pension credit under the 1998 or 2009 scheme</w:t>
            </w:r>
            <w:r w:rsidR="0076508B">
              <w:t>.</w:t>
            </w:r>
          </w:p>
          <w:p w14:paraId="67746A9A" w14:textId="77777777" w:rsidR="00171041" w:rsidRDefault="00B36D31" w:rsidP="00636721">
            <w:r>
              <w:t>The credit will be awarded under these schemes if</w:t>
            </w:r>
            <w:r w:rsidR="00171041">
              <w:t>:</w:t>
            </w:r>
          </w:p>
          <w:p w14:paraId="17BD5414" w14:textId="7AB39749" w:rsidR="00171041" w:rsidRDefault="00B36D31" w:rsidP="00171041">
            <w:pPr>
              <w:pStyle w:val="ListBullet"/>
            </w:pPr>
            <w:r>
              <w:t xml:space="preserve">the </w:t>
            </w:r>
            <w:r w:rsidR="00171041">
              <w:t xml:space="preserve">sharing order’s </w:t>
            </w:r>
            <w:r>
              <w:t>effective date was before April 2015</w:t>
            </w:r>
            <w:r w:rsidR="00171041">
              <w:t>,</w:t>
            </w:r>
            <w:r>
              <w:t xml:space="preserve"> or</w:t>
            </w:r>
          </w:p>
          <w:p w14:paraId="18F2FC24" w14:textId="4B3007AF" w:rsidR="00B36D31" w:rsidRDefault="00B36D31" w:rsidP="00613F53">
            <w:pPr>
              <w:pStyle w:val="ListBullet"/>
            </w:pPr>
            <w:r>
              <w:t>the debit member has no</w:t>
            </w:r>
            <w:r w:rsidR="00171041">
              <w:t xml:space="preserve"> 2015 Scheme</w:t>
            </w:r>
            <w:r>
              <w:t xml:space="preserve"> benefits</w:t>
            </w:r>
            <w:r w:rsidR="0076508B">
              <w:t>.</w:t>
            </w:r>
          </w:p>
        </w:tc>
        <w:tc>
          <w:tcPr>
            <w:tcW w:w="4819" w:type="dxa"/>
          </w:tcPr>
          <w:p w14:paraId="3CBFAFCB" w14:textId="3E98AB77" w:rsidR="00B36D31" w:rsidRDefault="00B36D31" w:rsidP="00465841">
            <w:pPr>
              <w:spacing w:before="0"/>
            </w:pPr>
            <w:r>
              <w:t xml:space="preserve">Decide </w:t>
            </w:r>
            <w:r w:rsidR="005A603E">
              <w:t>on the</w:t>
            </w:r>
            <w:r>
              <w:t xml:space="preserve"> date </w:t>
            </w:r>
            <w:r w:rsidR="00861873">
              <w:t xml:space="preserve">to value </w:t>
            </w:r>
            <w:r>
              <w:t>the benefits. This can be 31 March before</w:t>
            </w:r>
            <w:r w:rsidR="005A603E">
              <w:t xml:space="preserve"> issuing the statement, </w:t>
            </w:r>
            <w:r>
              <w:t xml:space="preserve">or </w:t>
            </w:r>
            <w:r w:rsidR="00230B62">
              <w:t xml:space="preserve">you may choose a </w:t>
            </w:r>
            <w:r>
              <w:t>later date</w:t>
            </w:r>
            <w:r w:rsidR="0076508B">
              <w:t>.</w:t>
            </w:r>
          </w:p>
        </w:tc>
        <w:tc>
          <w:tcPr>
            <w:tcW w:w="1701" w:type="dxa"/>
          </w:tcPr>
          <w:p w14:paraId="15D1FC66" w14:textId="77777777" w:rsidR="00B36D31" w:rsidRDefault="00B36D31" w:rsidP="00465841">
            <w:pPr>
              <w:spacing w:before="0"/>
            </w:pPr>
            <w:r>
              <w:t>No</w:t>
            </w:r>
          </w:p>
          <w:p w14:paraId="20C7D9DC" w14:textId="703E01A5" w:rsidR="00B36D31" w:rsidRDefault="00B36D31" w:rsidP="00465841">
            <w:pPr>
              <w:spacing w:before="0"/>
            </w:pPr>
            <w:r>
              <w:t xml:space="preserve">See </w:t>
            </w:r>
            <w:hyperlink w:anchor="_Note_1" w:history="1">
              <w:r w:rsidRPr="003A659F">
                <w:rPr>
                  <w:rStyle w:val="Hyperlink"/>
                </w:rPr>
                <w:t>Note 1</w:t>
              </w:r>
            </w:hyperlink>
          </w:p>
        </w:tc>
        <w:tc>
          <w:tcPr>
            <w:tcW w:w="1843" w:type="dxa"/>
          </w:tcPr>
          <w:p w14:paraId="683599CF" w14:textId="3EA22DCD" w:rsidR="00B36D31" w:rsidRDefault="00B36D31" w:rsidP="00465841">
            <w:pPr>
              <w:spacing w:before="0"/>
            </w:pPr>
            <w:r>
              <w:t>62(5) of the 2008 Administration Regulations</w:t>
            </w:r>
          </w:p>
          <w:p w14:paraId="16265412" w14:textId="5DFC3009" w:rsidR="00B36D31" w:rsidRDefault="00B36D31" w:rsidP="00465841">
            <w:pPr>
              <w:spacing w:before="0"/>
            </w:pPr>
            <w:r>
              <w:t>105A(5) of the 1998 Regulations</w:t>
            </w:r>
          </w:p>
          <w:p w14:paraId="2DFDA1F8" w14:textId="39440B6E" w:rsidR="00B36D31" w:rsidRDefault="00B36D31" w:rsidP="00465841">
            <w:pPr>
              <w:spacing w:before="0"/>
            </w:pPr>
            <w:r>
              <w:t>4(1)(b) of the 1998 Transitional Regulations</w:t>
            </w:r>
          </w:p>
        </w:tc>
      </w:tr>
      <w:tr w:rsidR="009C0EA3" w14:paraId="637E50CD" w14:textId="77777777" w:rsidTr="00AF5D4D">
        <w:trPr>
          <w:cantSplit/>
        </w:trPr>
        <w:tc>
          <w:tcPr>
            <w:tcW w:w="704" w:type="dxa"/>
          </w:tcPr>
          <w:p w14:paraId="135AA543" w14:textId="05B8107B" w:rsidR="009C0EA3" w:rsidRDefault="009C0EA3" w:rsidP="00465841">
            <w:pPr>
              <w:spacing w:before="0"/>
            </w:pPr>
            <w:r>
              <w:lastRenderedPageBreak/>
              <w:t>14</w:t>
            </w:r>
          </w:p>
        </w:tc>
        <w:tc>
          <w:tcPr>
            <w:tcW w:w="2126" w:type="dxa"/>
          </w:tcPr>
          <w:p w14:paraId="1782BA95" w14:textId="67440F3C" w:rsidR="009C0EA3" w:rsidRPr="00CB4459" w:rsidRDefault="009C0EA3" w:rsidP="004A34E8">
            <w:pPr>
              <w:pStyle w:val="Heading3"/>
            </w:pPr>
            <w:bookmarkStart w:id="51" w:name="_Annual_benefit_statements_1"/>
            <w:bookmarkEnd w:id="51"/>
            <w:r w:rsidRPr="00CB4459">
              <w:t>Annual benefit statements</w:t>
            </w:r>
          </w:p>
        </w:tc>
        <w:tc>
          <w:tcPr>
            <w:tcW w:w="3686" w:type="dxa"/>
          </w:tcPr>
          <w:p w14:paraId="0B30095A" w14:textId="01A8F32A" w:rsidR="009C0EA3" w:rsidRDefault="0062113F" w:rsidP="00C40BB7">
            <w:pPr>
              <w:pStyle w:val="ListBullet"/>
            </w:pPr>
            <w:r>
              <w:t>Members with underpin protection</w:t>
            </w:r>
            <w:r w:rsidR="00C26752">
              <w:t>.</w:t>
            </w:r>
          </w:p>
          <w:p w14:paraId="0D3CA54C" w14:textId="49854D00" w:rsidR="0062113F" w:rsidRDefault="00C26752" w:rsidP="0062113F">
            <w:pPr>
              <w:pStyle w:val="ListBullet"/>
            </w:pPr>
            <w:r>
              <w:t>Pension credit members where the debit member has underpin protection.</w:t>
            </w:r>
          </w:p>
        </w:tc>
        <w:tc>
          <w:tcPr>
            <w:tcW w:w="4819" w:type="dxa"/>
          </w:tcPr>
          <w:p w14:paraId="17E51DA4" w14:textId="5A592C99" w:rsidR="008421A3" w:rsidRDefault="00C079A7" w:rsidP="00465841">
            <w:pPr>
              <w:spacing w:before="0"/>
            </w:pPr>
            <w:r>
              <w:t xml:space="preserve">Decide </w:t>
            </w:r>
            <w:r w:rsidR="001E0253">
              <w:t xml:space="preserve">before 31 August 2025 </w:t>
            </w:r>
            <w:r>
              <w:t xml:space="preserve">whether to exclude underpin information </w:t>
            </w:r>
            <w:r w:rsidR="008421A3">
              <w:t xml:space="preserve">in the 2024/25 annual benefit statements for </w:t>
            </w:r>
            <w:r w:rsidR="00566EBB">
              <w:t xml:space="preserve">a </w:t>
            </w:r>
            <w:r w:rsidR="008421A3">
              <w:t>certain member or class of member</w:t>
            </w:r>
            <w:r w:rsidR="001A62DD">
              <w:t>s</w:t>
            </w:r>
            <w:r w:rsidR="008421A3">
              <w:t>.</w:t>
            </w:r>
            <w:r w:rsidR="00632604">
              <w:t xml:space="preserve"> If so, the authority must notify the affected members in the 2024/25 statements.</w:t>
            </w:r>
          </w:p>
          <w:p w14:paraId="6A9E0CCE" w14:textId="155E2143" w:rsidR="009E51F4" w:rsidRDefault="0022205F" w:rsidP="00134A2E">
            <w:pPr>
              <w:spacing w:before="0" w:after="0"/>
            </w:pPr>
            <w:r>
              <w:t xml:space="preserve">The authority can only decide to </w:t>
            </w:r>
            <w:r w:rsidR="00632604">
              <w:t>exclude the underpin informat</w:t>
            </w:r>
            <w:r w:rsidR="000511C1">
              <w:t>i</w:t>
            </w:r>
            <w:r w:rsidR="00632604">
              <w:t>on</w:t>
            </w:r>
            <w:r>
              <w:t xml:space="preserve"> if they consider that it is reasonable in all the circumstances</w:t>
            </w:r>
            <w:r w:rsidR="009E51F4">
              <w:t xml:space="preserve"> in the case of that particular member or class of members.</w:t>
            </w:r>
          </w:p>
        </w:tc>
        <w:tc>
          <w:tcPr>
            <w:tcW w:w="1701" w:type="dxa"/>
          </w:tcPr>
          <w:p w14:paraId="65B7C565" w14:textId="77777777" w:rsidR="00C26752" w:rsidRDefault="00C26752" w:rsidP="00C26752">
            <w:pPr>
              <w:spacing w:before="0"/>
            </w:pPr>
            <w:r>
              <w:t>No</w:t>
            </w:r>
          </w:p>
          <w:p w14:paraId="4C5E1D84" w14:textId="561C9CD1" w:rsidR="009C0EA3" w:rsidRDefault="00C26752" w:rsidP="00C26752">
            <w:pPr>
              <w:spacing w:before="0"/>
            </w:pPr>
            <w:r>
              <w:t xml:space="preserve">See </w:t>
            </w:r>
            <w:hyperlink w:anchor="_Note_1" w:history="1">
              <w:r w:rsidRPr="003A659F">
                <w:rPr>
                  <w:rStyle w:val="Hyperlink"/>
                </w:rPr>
                <w:t>Note 1</w:t>
              </w:r>
            </w:hyperlink>
          </w:p>
        </w:tc>
        <w:tc>
          <w:tcPr>
            <w:tcW w:w="1843" w:type="dxa"/>
          </w:tcPr>
          <w:p w14:paraId="519F3342" w14:textId="7DBE7298" w:rsidR="009C0EA3" w:rsidRDefault="00C079A7" w:rsidP="00465841">
            <w:pPr>
              <w:spacing w:before="0"/>
            </w:pPr>
            <w:r>
              <w:t>6 of the LGPS (Remediable Service) (Scotland) (Miscellaneous Amendment) Regulations 2024</w:t>
            </w:r>
          </w:p>
        </w:tc>
      </w:tr>
      <w:tr w:rsidR="00B36D31" w14:paraId="66657D00" w14:textId="77777777" w:rsidTr="00AF5D4D">
        <w:trPr>
          <w:cantSplit/>
        </w:trPr>
        <w:tc>
          <w:tcPr>
            <w:tcW w:w="704" w:type="dxa"/>
          </w:tcPr>
          <w:p w14:paraId="57E12869" w14:textId="7E73138F" w:rsidR="00B36D31" w:rsidRDefault="00B36D31" w:rsidP="002E2ACF">
            <w:pPr>
              <w:spacing w:before="0"/>
            </w:pPr>
            <w:r>
              <w:lastRenderedPageBreak/>
              <w:t>1</w:t>
            </w:r>
            <w:r w:rsidR="003B20A1">
              <w:t>5</w:t>
            </w:r>
          </w:p>
        </w:tc>
        <w:tc>
          <w:tcPr>
            <w:tcW w:w="2126" w:type="dxa"/>
          </w:tcPr>
          <w:p w14:paraId="0F73B9DC" w14:textId="3FCDDE97" w:rsidR="00B36D31" w:rsidRPr="00210725" w:rsidRDefault="00B36D31" w:rsidP="004A34E8">
            <w:pPr>
              <w:pStyle w:val="Heading3"/>
            </w:pPr>
            <w:bookmarkStart w:id="52" w:name="_Appeals"/>
            <w:bookmarkEnd w:id="52"/>
            <w:r w:rsidRPr="00210725">
              <w:t>Appeals</w:t>
            </w:r>
          </w:p>
        </w:tc>
        <w:tc>
          <w:tcPr>
            <w:tcW w:w="3686" w:type="dxa"/>
          </w:tcPr>
          <w:p w14:paraId="4F9485EA" w14:textId="0D41C389" w:rsidR="00B36D31" w:rsidRDefault="00B36D31" w:rsidP="002E2ACF">
            <w:pPr>
              <w:spacing w:before="0"/>
            </w:pPr>
            <w:r>
              <w:t xml:space="preserve">A member, or </w:t>
            </w:r>
            <w:r w:rsidRPr="00263CCF">
              <w:t>alternative applicant</w:t>
            </w:r>
            <w:r>
              <w:t>, who triggers stage one of the internal dispute resolution procedure</w:t>
            </w:r>
            <w:r w:rsidR="00BA725B">
              <w:t xml:space="preserve"> (IDRP)</w:t>
            </w:r>
            <w:r w:rsidR="00426D24">
              <w:t xml:space="preserve"> </w:t>
            </w:r>
            <w:r w:rsidR="0072134F">
              <w:t>because of</w:t>
            </w:r>
            <w:r w:rsidR="00426D24">
              <w:t xml:space="preserve"> a disagreement with the administering authority</w:t>
            </w:r>
            <w:r w:rsidR="00826B80">
              <w:t>.</w:t>
            </w:r>
          </w:p>
          <w:p w14:paraId="65ADF8F9" w14:textId="29C1F8D8" w:rsidR="00B36D31" w:rsidRDefault="00260346" w:rsidP="002E2ACF">
            <w:pPr>
              <w:spacing w:before="0"/>
            </w:pPr>
            <w:r>
              <w:t xml:space="preserve">Regulation </w:t>
            </w:r>
            <w:r w:rsidR="00B36D31">
              <w:t>69(2) of the 2018 Regulations lists who can be an ‘alternative applicant’</w:t>
            </w:r>
            <w:r w:rsidR="0076508B">
              <w:t>.</w:t>
            </w:r>
          </w:p>
        </w:tc>
        <w:tc>
          <w:tcPr>
            <w:tcW w:w="4819" w:type="dxa"/>
          </w:tcPr>
          <w:p w14:paraId="48B0BEBA" w14:textId="77777777" w:rsidR="008D40FA" w:rsidRDefault="008D40FA" w:rsidP="008D40FA">
            <w:pPr>
              <w:spacing w:before="0"/>
            </w:pPr>
            <w:r>
              <w:t>Decide who will be the stage one IDRP adjudicator.</w:t>
            </w:r>
          </w:p>
          <w:p w14:paraId="3F91C6C1" w14:textId="77777777" w:rsidR="008D40FA" w:rsidRDefault="008D40FA" w:rsidP="008D40FA">
            <w:pPr>
              <w:spacing w:before="0"/>
            </w:pPr>
            <w:r>
              <w:t>When notifying members of LGPS decisions, you must:</w:t>
            </w:r>
          </w:p>
          <w:p w14:paraId="7F4219AC" w14:textId="3310B31B" w:rsidR="008D40FA" w:rsidRDefault="008D40FA" w:rsidP="008D40FA">
            <w:pPr>
              <w:pStyle w:val="ListBullet"/>
            </w:pPr>
            <w:r>
              <w:t xml:space="preserve">inform them about their right to appeal under stage </w:t>
            </w:r>
            <w:r w:rsidR="00BA725B">
              <w:t>one</w:t>
            </w:r>
            <w:r>
              <w:t xml:space="preserve"> and </w:t>
            </w:r>
            <w:r w:rsidR="00BA725B">
              <w:t>two</w:t>
            </w:r>
            <w:r>
              <w:t xml:space="preserve"> of the I</w:t>
            </w:r>
            <w:r w:rsidR="00BA725B">
              <w:t>DRP</w:t>
            </w:r>
            <w:r>
              <w:t>, including the time limits for doing so, and</w:t>
            </w:r>
          </w:p>
          <w:p w14:paraId="5E35504E" w14:textId="2E4159B8" w:rsidR="00B36D31" w:rsidRDefault="008D40FA" w:rsidP="00B81960">
            <w:pPr>
              <w:pStyle w:val="ListBullet"/>
            </w:pPr>
            <w:r>
              <w:t>specify the job title and address of the person to whom IDRP applications can be made.</w:t>
            </w:r>
          </w:p>
        </w:tc>
        <w:tc>
          <w:tcPr>
            <w:tcW w:w="1701" w:type="dxa"/>
          </w:tcPr>
          <w:p w14:paraId="24E4FF67" w14:textId="77777777" w:rsidR="00B36D31" w:rsidRDefault="00B36D31" w:rsidP="002E2ACF">
            <w:pPr>
              <w:spacing w:before="0"/>
            </w:pPr>
            <w:r>
              <w:t>No</w:t>
            </w:r>
          </w:p>
          <w:p w14:paraId="3E56B719" w14:textId="71CB7218" w:rsidR="00B36D31" w:rsidRDefault="00B36D31" w:rsidP="002E2ACF">
            <w:pPr>
              <w:spacing w:before="0"/>
            </w:pPr>
            <w:r>
              <w:t xml:space="preserve">See </w:t>
            </w:r>
            <w:hyperlink w:anchor="_Note_1" w:history="1">
              <w:r w:rsidRPr="003A659F">
                <w:rPr>
                  <w:rStyle w:val="Hyperlink"/>
                </w:rPr>
                <w:t>Note 1</w:t>
              </w:r>
            </w:hyperlink>
          </w:p>
        </w:tc>
        <w:tc>
          <w:tcPr>
            <w:tcW w:w="1843" w:type="dxa"/>
          </w:tcPr>
          <w:p w14:paraId="132BDB28" w14:textId="203D2513" w:rsidR="00B36D31" w:rsidRDefault="00B36D31" w:rsidP="002E2ACF">
            <w:pPr>
              <w:spacing w:before="0"/>
              <w:rPr>
                <w:rStyle w:val="Hyperlink"/>
              </w:rPr>
            </w:pPr>
            <w:r>
              <w:t>68(5)(c) of the 2018 Regulations</w:t>
            </w:r>
          </w:p>
          <w:p w14:paraId="1FBB101A" w14:textId="5D91730C" w:rsidR="00B36D31" w:rsidRDefault="00B36D31" w:rsidP="002E2ACF">
            <w:pPr>
              <w:spacing w:before="0"/>
            </w:pPr>
            <w:r>
              <w:t>23 of the 2014 Transitional Regulations</w:t>
            </w:r>
          </w:p>
        </w:tc>
      </w:tr>
      <w:tr w:rsidR="00E36CC4" w14:paraId="306FA23B" w14:textId="77777777" w:rsidTr="00AF5D4D">
        <w:trPr>
          <w:cantSplit/>
        </w:trPr>
        <w:tc>
          <w:tcPr>
            <w:tcW w:w="704" w:type="dxa"/>
          </w:tcPr>
          <w:p w14:paraId="3D3E4506" w14:textId="7F20F5B4" w:rsidR="00E36CC4" w:rsidRDefault="00E36CC4" w:rsidP="00E36CC4">
            <w:pPr>
              <w:spacing w:before="0"/>
            </w:pPr>
            <w:r>
              <w:lastRenderedPageBreak/>
              <w:t>1</w:t>
            </w:r>
            <w:r w:rsidR="003B20A1">
              <w:t>6</w:t>
            </w:r>
          </w:p>
        </w:tc>
        <w:tc>
          <w:tcPr>
            <w:tcW w:w="2126" w:type="dxa"/>
          </w:tcPr>
          <w:p w14:paraId="7D4F30AF" w14:textId="0D8833F7" w:rsidR="00E36CC4" w:rsidRPr="00BD6113" w:rsidRDefault="00E36CC4" w:rsidP="004A34E8">
            <w:pPr>
              <w:pStyle w:val="Heading3"/>
            </w:pPr>
            <w:bookmarkStart w:id="53" w:name="_Appeals_1"/>
            <w:bookmarkStart w:id="54" w:name="_Toc177711985"/>
            <w:bookmarkEnd w:id="53"/>
            <w:r w:rsidRPr="00BD6113">
              <w:t>Appeals</w:t>
            </w:r>
            <w:bookmarkEnd w:id="54"/>
          </w:p>
        </w:tc>
        <w:tc>
          <w:tcPr>
            <w:tcW w:w="3686" w:type="dxa"/>
          </w:tcPr>
          <w:p w14:paraId="7AB20B90" w14:textId="77777777" w:rsidR="00E36CC4" w:rsidRDefault="00E36CC4" w:rsidP="00E36CC4">
            <w:pPr>
              <w:spacing w:before="0"/>
            </w:pPr>
            <w:r>
              <w:t>A member, or an alternative applicant, who applies for stage one of the internal dispute resolution procedure (IDRP) after the six-month deadline.</w:t>
            </w:r>
          </w:p>
          <w:p w14:paraId="1B729FE1" w14:textId="77777777" w:rsidR="00E36CC4" w:rsidRDefault="00E36CC4" w:rsidP="00E36CC4">
            <w:pPr>
              <w:spacing w:before="0"/>
            </w:pPr>
            <w:r>
              <w:t>The six-month deadline begins:</w:t>
            </w:r>
          </w:p>
          <w:p w14:paraId="176C4B4A" w14:textId="77777777" w:rsidR="00E36CC4" w:rsidRDefault="00E36CC4" w:rsidP="00E36CC4">
            <w:pPr>
              <w:pStyle w:val="ListBullet"/>
            </w:pPr>
            <w:r>
              <w:t>for appeals about a decision, on the date the member was told of the decision,</w:t>
            </w:r>
          </w:p>
          <w:p w14:paraId="3091137A" w14:textId="77777777" w:rsidR="00E36CC4" w:rsidRDefault="00E36CC4" w:rsidP="00E36CC4">
            <w:pPr>
              <w:pStyle w:val="ListBullet"/>
            </w:pPr>
            <w:r>
              <w:t>in any other case, on the date of the act or omission which caused the appeal, or, if there is more than one, the date of the last one.</w:t>
            </w:r>
          </w:p>
          <w:p w14:paraId="620BA428" w14:textId="48A4EEA2" w:rsidR="00E36CC4" w:rsidRDefault="00E36CC4" w:rsidP="008501BA">
            <w:pPr>
              <w:spacing w:after="0"/>
            </w:pPr>
            <w:r>
              <w:t>Regulation 69(2) of the 2018 Regulations lists who can be an ‘alternative applicant’.</w:t>
            </w:r>
          </w:p>
        </w:tc>
        <w:tc>
          <w:tcPr>
            <w:tcW w:w="4819" w:type="dxa"/>
          </w:tcPr>
          <w:p w14:paraId="73A572A9" w14:textId="19D289B3" w:rsidR="00E36CC4" w:rsidRDefault="00E36CC4" w:rsidP="00E36CC4">
            <w:pPr>
              <w:spacing w:before="0"/>
            </w:pPr>
            <w:r>
              <w:t>The stage one adjudicator can accept late applications if they consider it reasonable.</w:t>
            </w:r>
          </w:p>
        </w:tc>
        <w:tc>
          <w:tcPr>
            <w:tcW w:w="1701" w:type="dxa"/>
          </w:tcPr>
          <w:p w14:paraId="1F71297E" w14:textId="77777777" w:rsidR="00E36CC4" w:rsidRDefault="00E36CC4" w:rsidP="00E36CC4">
            <w:pPr>
              <w:spacing w:before="0"/>
            </w:pPr>
            <w:r>
              <w:t>No</w:t>
            </w:r>
          </w:p>
          <w:p w14:paraId="2D2CBF52" w14:textId="566FF0AE" w:rsidR="00E36CC4" w:rsidRDefault="00E36CC4" w:rsidP="00E36CC4">
            <w:pPr>
              <w:spacing w:before="0"/>
            </w:pPr>
            <w:r>
              <w:t xml:space="preserve">See </w:t>
            </w:r>
            <w:hyperlink w:anchor="_Note_1" w:history="1">
              <w:r w:rsidRPr="003A659F">
                <w:rPr>
                  <w:rStyle w:val="Hyperlink"/>
                </w:rPr>
                <w:t>Note 1</w:t>
              </w:r>
            </w:hyperlink>
          </w:p>
        </w:tc>
        <w:tc>
          <w:tcPr>
            <w:tcW w:w="1843" w:type="dxa"/>
          </w:tcPr>
          <w:p w14:paraId="1E8794CA" w14:textId="52994D55" w:rsidR="00E36CC4" w:rsidRDefault="00E36CC4" w:rsidP="00E36CC4">
            <w:pPr>
              <w:spacing w:before="0"/>
              <w:rPr>
                <w:rStyle w:val="Hyperlink"/>
              </w:rPr>
            </w:pPr>
            <w:r>
              <w:t>69(7)(b) of the 2018 Regulations</w:t>
            </w:r>
          </w:p>
          <w:p w14:paraId="28B4856E" w14:textId="45470B1E" w:rsidR="00E36CC4" w:rsidRDefault="00E36CC4" w:rsidP="00E36CC4">
            <w:pPr>
              <w:spacing w:before="0"/>
            </w:pPr>
            <w:r>
              <w:t>23 of the 2014 Transitional Regulations</w:t>
            </w:r>
          </w:p>
        </w:tc>
      </w:tr>
      <w:tr w:rsidR="00B36D31" w14:paraId="0009EC3D" w14:textId="77777777" w:rsidTr="00AF5D4D">
        <w:trPr>
          <w:cantSplit/>
        </w:trPr>
        <w:tc>
          <w:tcPr>
            <w:tcW w:w="704" w:type="dxa"/>
          </w:tcPr>
          <w:p w14:paraId="5F78F98B" w14:textId="55CE28A8" w:rsidR="00B36D31" w:rsidRDefault="00B36D31" w:rsidP="002E2ACF">
            <w:pPr>
              <w:spacing w:before="0"/>
            </w:pPr>
            <w:r>
              <w:lastRenderedPageBreak/>
              <w:t>1</w:t>
            </w:r>
            <w:r w:rsidR="003B20A1">
              <w:t>7</w:t>
            </w:r>
          </w:p>
        </w:tc>
        <w:tc>
          <w:tcPr>
            <w:tcW w:w="2126" w:type="dxa"/>
          </w:tcPr>
          <w:p w14:paraId="6C2B57D6" w14:textId="16CD5D17" w:rsidR="00B36D31" w:rsidRPr="003321F7" w:rsidRDefault="00B36D31" w:rsidP="004A34E8">
            <w:pPr>
              <w:pStyle w:val="Heading3"/>
            </w:pPr>
            <w:bookmarkStart w:id="55" w:name="_Appeals_2"/>
            <w:bookmarkStart w:id="56" w:name="_Toc177711986"/>
            <w:bookmarkEnd w:id="55"/>
            <w:r w:rsidRPr="003321F7">
              <w:t>Appeals</w:t>
            </w:r>
            <w:bookmarkEnd w:id="56"/>
          </w:p>
        </w:tc>
        <w:tc>
          <w:tcPr>
            <w:tcW w:w="3686" w:type="dxa"/>
          </w:tcPr>
          <w:p w14:paraId="55D5AFF1" w14:textId="04EE7284" w:rsidR="00B36D31" w:rsidRDefault="00B36D31" w:rsidP="002E2ACF">
            <w:pPr>
              <w:spacing w:before="0"/>
            </w:pPr>
            <w:r>
              <w:t>An employer who is not an administering authority and has decided, or failed to decide,</w:t>
            </w:r>
            <w:r w:rsidR="007E57BD">
              <w:t xml:space="preserve"> any</w:t>
            </w:r>
            <w:r>
              <w:t xml:space="preserve"> </w:t>
            </w:r>
            <w:r w:rsidR="00E46C9E">
              <w:br/>
            </w:r>
            <w:r>
              <w:t>question</w:t>
            </w:r>
            <w:r w:rsidR="007E57BD">
              <w:t xml:space="preserve"> required under </w:t>
            </w:r>
            <w:r w:rsidR="00921CD4">
              <w:t>the LGPS regulations</w:t>
            </w:r>
            <w:r w:rsidR="007E57BD">
              <w:t>, otherwise than in the exercise of a discretion.</w:t>
            </w:r>
          </w:p>
        </w:tc>
        <w:tc>
          <w:tcPr>
            <w:tcW w:w="4819" w:type="dxa"/>
          </w:tcPr>
          <w:p w14:paraId="40D577C4" w14:textId="77777777" w:rsidR="00B36D31" w:rsidRDefault="00B36D31" w:rsidP="002E2ACF">
            <w:pPr>
              <w:spacing w:before="0"/>
            </w:pPr>
            <w:r>
              <w:t>Decide whether to appeal to Scottish Ministers to decide the question</w:t>
            </w:r>
            <w:r w:rsidR="0076508B">
              <w:t>.</w:t>
            </w:r>
          </w:p>
          <w:p w14:paraId="4F7B5C64" w14:textId="649F8EFE" w:rsidR="007E57BD" w:rsidRDefault="007E57BD" w:rsidP="002E2ACF">
            <w:pPr>
              <w:spacing w:before="0"/>
            </w:pPr>
            <w:r>
              <w:t xml:space="preserve">The appeal must be made in writing </w:t>
            </w:r>
            <w:r w:rsidR="0032554D">
              <w:t xml:space="preserve">within </w:t>
            </w:r>
            <w:r>
              <w:t>six-mont</w:t>
            </w:r>
            <w:r w:rsidR="0032554D">
              <w:t>hs of</w:t>
            </w:r>
            <w:r>
              <w:t>:</w:t>
            </w:r>
          </w:p>
          <w:p w14:paraId="66AFCC42" w14:textId="3309C470" w:rsidR="007E57BD" w:rsidRDefault="0032554D" w:rsidP="007E57BD">
            <w:pPr>
              <w:pStyle w:val="ListBullet"/>
            </w:pPr>
            <w:r>
              <w:t>the date of notification, if related to a decision made</w:t>
            </w:r>
            <w:r w:rsidR="007E57BD">
              <w:t>,</w:t>
            </w:r>
            <w:r>
              <w:t xml:space="preserve"> or</w:t>
            </w:r>
            <w:r w:rsidR="007E57BD">
              <w:t xml:space="preserve"> </w:t>
            </w:r>
          </w:p>
          <w:p w14:paraId="0850497E" w14:textId="2A2D6D0D" w:rsidR="007E57BD" w:rsidRDefault="0032554D" w:rsidP="007E57BD">
            <w:pPr>
              <w:pStyle w:val="ListBullet"/>
            </w:pPr>
            <w:r>
              <w:t xml:space="preserve">the date of the failure, if related to a </w:t>
            </w:r>
            <w:r w:rsidR="007E57BD">
              <w:t>failure to decide any question.</w:t>
            </w:r>
          </w:p>
          <w:p w14:paraId="01CB8C7E" w14:textId="19E4DA0B" w:rsidR="007E57BD" w:rsidRDefault="007E57BD" w:rsidP="00B52B0E">
            <w:pPr>
              <w:spacing w:after="0"/>
            </w:pPr>
            <w:r>
              <w:t>Scottish Ministers can accept late appeals if they consider it reasonable.</w:t>
            </w:r>
          </w:p>
        </w:tc>
        <w:tc>
          <w:tcPr>
            <w:tcW w:w="1701" w:type="dxa"/>
          </w:tcPr>
          <w:p w14:paraId="7AC8E8B6" w14:textId="77777777" w:rsidR="00B36D31" w:rsidRDefault="00B36D31" w:rsidP="002E2ACF">
            <w:pPr>
              <w:spacing w:before="0"/>
            </w:pPr>
            <w:r>
              <w:t>No</w:t>
            </w:r>
          </w:p>
          <w:p w14:paraId="78D96C60" w14:textId="0347F684" w:rsidR="00B36D31" w:rsidRDefault="00B36D31" w:rsidP="002E2ACF">
            <w:pPr>
              <w:spacing w:before="0"/>
            </w:pPr>
            <w:r>
              <w:t xml:space="preserve">See </w:t>
            </w:r>
            <w:hyperlink w:anchor="_Note_1" w:history="1">
              <w:r w:rsidRPr="003A659F">
                <w:rPr>
                  <w:rStyle w:val="Hyperlink"/>
                </w:rPr>
                <w:t>Note 1</w:t>
              </w:r>
            </w:hyperlink>
          </w:p>
        </w:tc>
        <w:tc>
          <w:tcPr>
            <w:tcW w:w="1843" w:type="dxa"/>
          </w:tcPr>
          <w:p w14:paraId="5C331A7D" w14:textId="3EB42C10" w:rsidR="00B36D31" w:rsidRDefault="00B36D31" w:rsidP="002E2ACF">
            <w:pPr>
              <w:spacing w:before="0"/>
              <w:rPr>
                <w:rStyle w:val="Hyperlink"/>
              </w:rPr>
            </w:pPr>
            <w:r>
              <w:t>74(2) of the 2018 Regulations</w:t>
            </w:r>
          </w:p>
          <w:p w14:paraId="481F9E55" w14:textId="10869E2C" w:rsidR="00B36D31" w:rsidRDefault="00B36D31" w:rsidP="002E2ACF">
            <w:pPr>
              <w:spacing w:before="0"/>
            </w:pPr>
            <w:r>
              <w:t>23 of the 2014 Transitional Regulations</w:t>
            </w:r>
          </w:p>
        </w:tc>
      </w:tr>
      <w:tr w:rsidR="00C836BB" w14:paraId="4CF34C03" w14:textId="77777777" w:rsidTr="00AF5D4D">
        <w:trPr>
          <w:cantSplit/>
        </w:trPr>
        <w:tc>
          <w:tcPr>
            <w:tcW w:w="704" w:type="dxa"/>
          </w:tcPr>
          <w:p w14:paraId="60B8B958" w14:textId="06FFF5EC" w:rsidR="00C836BB" w:rsidRDefault="00C836BB" w:rsidP="00C836BB">
            <w:pPr>
              <w:spacing w:before="0"/>
            </w:pPr>
            <w:r>
              <w:t>1</w:t>
            </w:r>
            <w:r w:rsidR="003B20A1">
              <w:t>8</w:t>
            </w:r>
          </w:p>
        </w:tc>
        <w:tc>
          <w:tcPr>
            <w:tcW w:w="2126" w:type="dxa"/>
          </w:tcPr>
          <w:p w14:paraId="29AB58BC" w14:textId="3BED5300" w:rsidR="00C836BB" w:rsidRPr="003321F7" w:rsidRDefault="00C836BB" w:rsidP="004A34E8">
            <w:pPr>
              <w:pStyle w:val="Heading3"/>
            </w:pPr>
            <w:bookmarkStart w:id="57" w:name="_Certificate_of_protection"/>
            <w:bookmarkEnd w:id="57"/>
            <w:r w:rsidRPr="003321F7">
              <w:t>Certificate of protection</w:t>
            </w:r>
          </w:p>
        </w:tc>
        <w:tc>
          <w:tcPr>
            <w:tcW w:w="3686" w:type="dxa"/>
          </w:tcPr>
          <w:p w14:paraId="2D77F020" w14:textId="1AD0FFFE" w:rsidR="00C836BB" w:rsidRDefault="00C836BB" w:rsidP="000D34A8">
            <w:pPr>
              <w:spacing w:before="0" w:after="0"/>
            </w:pPr>
            <w:r>
              <w:t xml:space="preserve">A member who </w:t>
            </w:r>
            <w:r w:rsidR="00641805">
              <w:t>was</w:t>
            </w:r>
            <w:r>
              <w:t xml:space="preserve"> issued a certificate of protection </w:t>
            </w:r>
            <w:r w:rsidR="00641805">
              <w:t>for</w:t>
            </w:r>
            <w:r>
              <w:t xml:space="preserve"> a pre-April 2015 reduction </w:t>
            </w:r>
            <w:r w:rsidR="00C7337F">
              <w:t>or</w:t>
            </w:r>
            <w:r>
              <w:t xml:space="preserve"> restriction in pay and died before electing whether to use the certificate</w:t>
            </w:r>
            <w:r w:rsidR="00C7337F">
              <w:t>.</w:t>
            </w:r>
          </w:p>
        </w:tc>
        <w:tc>
          <w:tcPr>
            <w:tcW w:w="4819" w:type="dxa"/>
          </w:tcPr>
          <w:p w14:paraId="6D43CE91" w14:textId="34F894A2" w:rsidR="00B40721" w:rsidRDefault="00C836BB" w:rsidP="00C836BB">
            <w:pPr>
              <w:spacing w:before="0"/>
            </w:pPr>
            <w:r>
              <w:t>Decide whether to make the election on the member’s behalf</w:t>
            </w:r>
            <w:r w:rsidR="00B40721">
              <w:t>.</w:t>
            </w:r>
          </w:p>
        </w:tc>
        <w:tc>
          <w:tcPr>
            <w:tcW w:w="1701" w:type="dxa"/>
          </w:tcPr>
          <w:p w14:paraId="21E5228C" w14:textId="77777777" w:rsidR="00C836BB" w:rsidRDefault="00C836BB" w:rsidP="00C836BB">
            <w:pPr>
              <w:spacing w:before="0"/>
            </w:pPr>
            <w:r>
              <w:t>No</w:t>
            </w:r>
          </w:p>
          <w:p w14:paraId="5D5893CD" w14:textId="6E6B252E" w:rsidR="00C836BB" w:rsidRDefault="00C836BB" w:rsidP="00C836BB">
            <w:pPr>
              <w:spacing w:before="0"/>
            </w:pPr>
            <w:r>
              <w:t xml:space="preserve">See </w:t>
            </w:r>
            <w:hyperlink w:anchor="_Note_1" w:history="1">
              <w:r w:rsidRPr="00A60302">
                <w:rPr>
                  <w:rStyle w:val="Hyperlink"/>
                </w:rPr>
                <w:t>Note 1</w:t>
              </w:r>
            </w:hyperlink>
          </w:p>
        </w:tc>
        <w:tc>
          <w:tcPr>
            <w:tcW w:w="1843" w:type="dxa"/>
          </w:tcPr>
          <w:p w14:paraId="2A2AF485" w14:textId="04EF6AD2" w:rsidR="00C836BB" w:rsidRDefault="00C836BB" w:rsidP="00C836BB">
            <w:pPr>
              <w:spacing w:before="0"/>
            </w:pPr>
            <w:r>
              <w:t>43(10) of the 2008 Administration Regulations</w:t>
            </w:r>
          </w:p>
        </w:tc>
      </w:tr>
      <w:tr w:rsidR="00B36D31" w14:paraId="0B37EA07" w14:textId="77777777" w:rsidTr="00AF5D4D">
        <w:trPr>
          <w:cantSplit/>
        </w:trPr>
        <w:tc>
          <w:tcPr>
            <w:tcW w:w="704" w:type="dxa"/>
          </w:tcPr>
          <w:p w14:paraId="2B1F4B5C" w14:textId="5E0968E3" w:rsidR="00B36D31" w:rsidRDefault="00B36D31" w:rsidP="00731ABA">
            <w:pPr>
              <w:spacing w:before="0"/>
            </w:pPr>
            <w:r>
              <w:lastRenderedPageBreak/>
              <w:t>1</w:t>
            </w:r>
            <w:r w:rsidR="003B20A1">
              <w:t>9</w:t>
            </w:r>
          </w:p>
        </w:tc>
        <w:tc>
          <w:tcPr>
            <w:tcW w:w="2126" w:type="dxa"/>
          </w:tcPr>
          <w:p w14:paraId="5CC3A8BE" w14:textId="5B501AC1" w:rsidR="00B36D31" w:rsidRPr="00846BF3" w:rsidRDefault="00B36D31" w:rsidP="004A34E8">
            <w:pPr>
              <w:pStyle w:val="Heading3"/>
            </w:pPr>
            <w:bookmarkStart w:id="58" w:name="_Communication_strategy"/>
            <w:bookmarkEnd w:id="58"/>
            <w:r w:rsidRPr="00846BF3">
              <w:t>Communication strategy</w:t>
            </w:r>
          </w:p>
        </w:tc>
        <w:tc>
          <w:tcPr>
            <w:tcW w:w="3686" w:type="dxa"/>
          </w:tcPr>
          <w:p w14:paraId="592D78E9" w14:textId="19554FBA" w:rsidR="00B36D31" w:rsidRDefault="00B36D31" w:rsidP="00731ABA">
            <w:pPr>
              <w:spacing w:before="0"/>
            </w:pPr>
            <w:r>
              <w:t>All members</w:t>
            </w:r>
          </w:p>
        </w:tc>
        <w:tc>
          <w:tcPr>
            <w:tcW w:w="4819" w:type="dxa"/>
          </w:tcPr>
          <w:p w14:paraId="4CD2B10C" w14:textId="4DD116E7" w:rsidR="00B36D31" w:rsidRDefault="00B36D31" w:rsidP="00731ABA">
            <w:pPr>
              <w:spacing w:before="0"/>
            </w:pPr>
            <w:r>
              <w:t xml:space="preserve">Decide </w:t>
            </w:r>
            <w:r w:rsidR="00B5770B">
              <w:t xml:space="preserve">your </w:t>
            </w:r>
            <w:r>
              <w:t>policy concerning communications with:</w:t>
            </w:r>
          </w:p>
          <w:p w14:paraId="1B5BBF4E" w14:textId="23F1892B" w:rsidR="00B36D31" w:rsidRDefault="00B36D31" w:rsidP="00BC4489">
            <w:pPr>
              <w:pStyle w:val="ListBullet"/>
            </w:pPr>
            <w:r>
              <w:t>members</w:t>
            </w:r>
            <w:r w:rsidR="0010206C">
              <w:t>,</w:t>
            </w:r>
          </w:p>
          <w:p w14:paraId="11E21F7D" w14:textId="3547D9F2" w:rsidR="00B36D31" w:rsidRDefault="00E1066E" w:rsidP="00BC4489">
            <w:pPr>
              <w:pStyle w:val="ListBullet"/>
            </w:pPr>
            <w:r>
              <w:t xml:space="preserve">member </w:t>
            </w:r>
            <w:r w:rsidR="00B36D31">
              <w:t>representatives</w:t>
            </w:r>
            <w:r w:rsidR="0010206C">
              <w:t>,</w:t>
            </w:r>
          </w:p>
          <w:p w14:paraId="670FF919" w14:textId="2DB3C884" w:rsidR="00B36D31" w:rsidRDefault="00B36D31" w:rsidP="00BC4489">
            <w:pPr>
              <w:pStyle w:val="ListBullet"/>
            </w:pPr>
            <w:r>
              <w:t>prospective members</w:t>
            </w:r>
            <w:r w:rsidR="0010206C">
              <w:t>, and</w:t>
            </w:r>
          </w:p>
          <w:p w14:paraId="40845C7C" w14:textId="07671F22" w:rsidR="00B36D31" w:rsidRDefault="00AC5363" w:rsidP="00BC4489">
            <w:pPr>
              <w:pStyle w:val="ListBullet"/>
            </w:pPr>
            <w:r>
              <w:t>Scheme</w:t>
            </w:r>
            <w:r w:rsidR="00B36D31">
              <w:t xml:space="preserve"> employers.</w:t>
            </w:r>
          </w:p>
        </w:tc>
        <w:tc>
          <w:tcPr>
            <w:tcW w:w="1701" w:type="dxa"/>
          </w:tcPr>
          <w:p w14:paraId="690BD734" w14:textId="77777777" w:rsidR="00B36D31" w:rsidRDefault="00B36D31" w:rsidP="00731ABA">
            <w:pPr>
              <w:spacing w:before="0"/>
            </w:pPr>
            <w:r>
              <w:t>Yes</w:t>
            </w:r>
          </w:p>
          <w:p w14:paraId="30DCD2B8" w14:textId="231AE509" w:rsidR="00B36D31" w:rsidRDefault="00B36D31" w:rsidP="00731ABA">
            <w:pPr>
              <w:spacing w:before="0"/>
            </w:pPr>
            <w:r>
              <w:t xml:space="preserve">See </w:t>
            </w:r>
            <w:hyperlink w:anchor="_Note_7_–" w:history="1">
              <w:r w:rsidR="001F3117">
                <w:rPr>
                  <w:rStyle w:val="Hyperlink"/>
                </w:rPr>
                <w:t>Note 4</w:t>
              </w:r>
            </w:hyperlink>
          </w:p>
        </w:tc>
        <w:tc>
          <w:tcPr>
            <w:tcW w:w="1843" w:type="dxa"/>
          </w:tcPr>
          <w:p w14:paraId="228CB63C" w14:textId="46610E53" w:rsidR="00B36D31" w:rsidRDefault="00B36D31" w:rsidP="00731ABA">
            <w:pPr>
              <w:spacing w:before="0"/>
            </w:pPr>
            <w:r>
              <w:t>59 of the 2018 Regulations</w:t>
            </w:r>
          </w:p>
        </w:tc>
      </w:tr>
      <w:tr w:rsidR="00D56EA7" w14:paraId="7E503EEC" w14:textId="77777777" w:rsidTr="00AF5D4D">
        <w:trPr>
          <w:cantSplit/>
        </w:trPr>
        <w:tc>
          <w:tcPr>
            <w:tcW w:w="704" w:type="dxa"/>
          </w:tcPr>
          <w:p w14:paraId="718E0D78" w14:textId="3E6C6EF6" w:rsidR="00D56EA7" w:rsidRDefault="005026E6" w:rsidP="00D56EA7">
            <w:pPr>
              <w:spacing w:before="0"/>
            </w:pPr>
            <w:r>
              <w:lastRenderedPageBreak/>
              <w:t>20</w:t>
            </w:r>
          </w:p>
        </w:tc>
        <w:tc>
          <w:tcPr>
            <w:tcW w:w="2126" w:type="dxa"/>
          </w:tcPr>
          <w:p w14:paraId="4CD41FD5" w14:textId="49B67DFB" w:rsidR="00D56EA7" w:rsidRPr="008813D4" w:rsidRDefault="005026E6" w:rsidP="004A34E8">
            <w:pPr>
              <w:pStyle w:val="Heading3"/>
            </w:pPr>
            <w:bookmarkStart w:id="59" w:name="_Compensatory_added_years"/>
            <w:bookmarkEnd w:id="59"/>
            <w:r w:rsidRPr="002F7C7F">
              <w:t>Compensatory added years (CAYs)</w:t>
            </w:r>
          </w:p>
        </w:tc>
        <w:tc>
          <w:tcPr>
            <w:tcW w:w="3686" w:type="dxa"/>
          </w:tcPr>
          <w:p w14:paraId="00D612DD" w14:textId="13D4D96C" w:rsidR="00D56EA7" w:rsidRDefault="00AF6151" w:rsidP="00D56EA7">
            <w:pPr>
              <w:spacing w:before="0"/>
            </w:pPr>
            <w:r>
              <w:t xml:space="preserve">An employer has asked the authority to pay </w:t>
            </w:r>
            <w:r w:rsidR="00D56EA7">
              <w:t xml:space="preserve">CAYs payments </w:t>
            </w:r>
            <w:r>
              <w:t>on their behalf</w:t>
            </w:r>
            <w:r w:rsidR="00D56EA7">
              <w:t>.</w:t>
            </w:r>
          </w:p>
        </w:tc>
        <w:tc>
          <w:tcPr>
            <w:tcW w:w="4819" w:type="dxa"/>
          </w:tcPr>
          <w:p w14:paraId="35A78CB6" w14:textId="70236D1D" w:rsidR="00D56EA7" w:rsidRDefault="00D56EA7" w:rsidP="00D56EA7">
            <w:pPr>
              <w:spacing w:before="0"/>
            </w:pPr>
            <w:r>
              <w:t>Decide whether to agree to pay the CAYs on the employer’s behalf. If so:</w:t>
            </w:r>
          </w:p>
          <w:p w14:paraId="40A8EED8" w14:textId="1A1DDBF0" w:rsidR="00D56EA7" w:rsidRDefault="00D56EA7" w:rsidP="00D56EA7">
            <w:pPr>
              <w:pStyle w:val="ListBullet"/>
            </w:pPr>
            <w:r>
              <w:t>decide whether to pay from an LGPS fund or a different account (though lump sum CAYs cannot be paid from an LGPS fund),</w:t>
            </w:r>
          </w:p>
          <w:p w14:paraId="72F77E5B" w14:textId="49CEF238" w:rsidR="00D56EA7" w:rsidRDefault="00D56EA7" w:rsidP="00D56EA7">
            <w:pPr>
              <w:pStyle w:val="ListBullet"/>
            </w:pPr>
            <w:r>
              <w:t>decide terms on which the employer must repay, and</w:t>
            </w:r>
          </w:p>
          <w:p w14:paraId="46DA0D52" w14:textId="26CF9591" w:rsidR="00D56EA7" w:rsidRDefault="00D56EA7" w:rsidP="00D56EA7">
            <w:pPr>
              <w:pStyle w:val="ListBullet"/>
            </w:pPr>
            <w:r>
              <w:t>decide the period over which the employer must repay (if paid from an LGPS fund, the period must not exceed two months from the payment).</w:t>
            </w:r>
          </w:p>
          <w:p w14:paraId="2F9E4BA7" w14:textId="699A8EDF" w:rsidR="00D56EA7" w:rsidRDefault="00D56EA7" w:rsidP="002774C8">
            <w:pPr>
              <w:spacing w:after="0"/>
            </w:pPr>
            <w:r>
              <w:t>CAYs payments made from LGPS funds may have inadvertent tax consequences, such as being included in annual allowance calculations.</w:t>
            </w:r>
          </w:p>
        </w:tc>
        <w:tc>
          <w:tcPr>
            <w:tcW w:w="1701" w:type="dxa"/>
          </w:tcPr>
          <w:p w14:paraId="2D86CCB0" w14:textId="77777777" w:rsidR="00D56EA7" w:rsidRDefault="00D56EA7" w:rsidP="00D56EA7">
            <w:pPr>
              <w:spacing w:before="0"/>
            </w:pPr>
            <w:r>
              <w:t>No</w:t>
            </w:r>
          </w:p>
          <w:p w14:paraId="66C91551" w14:textId="060CA0F0" w:rsidR="00D56EA7" w:rsidRDefault="00D56EA7" w:rsidP="00D56EA7">
            <w:pPr>
              <w:spacing w:before="0"/>
            </w:pPr>
            <w:r>
              <w:t xml:space="preserve">See </w:t>
            </w:r>
            <w:hyperlink w:anchor="_Note_1" w:history="1">
              <w:r w:rsidRPr="003A659F">
                <w:rPr>
                  <w:rStyle w:val="Hyperlink"/>
                </w:rPr>
                <w:t>Note 1</w:t>
              </w:r>
            </w:hyperlink>
          </w:p>
        </w:tc>
        <w:tc>
          <w:tcPr>
            <w:tcW w:w="1843" w:type="dxa"/>
          </w:tcPr>
          <w:p w14:paraId="4B43ACFD" w14:textId="7840E53C" w:rsidR="00D56EA7" w:rsidRDefault="00D56EA7" w:rsidP="00D56EA7">
            <w:pPr>
              <w:spacing w:before="0"/>
            </w:pPr>
            <w:r>
              <w:t xml:space="preserve">31(2) </w:t>
            </w:r>
            <w:r w:rsidRPr="004558FD">
              <w:t xml:space="preserve">of </w:t>
            </w:r>
            <w:r>
              <w:t>the 1998 Discretionary Regulations</w:t>
            </w:r>
          </w:p>
        </w:tc>
      </w:tr>
      <w:tr w:rsidR="00D56EA7" w14:paraId="544BE65F" w14:textId="77777777" w:rsidTr="00AF5D4D">
        <w:trPr>
          <w:cantSplit/>
        </w:trPr>
        <w:tc>
          <w:tcPr>
            <w:tcW w:w="704" w:type="dxa"/>
          </w:tcPr>
          <w:p w14:paraId="7E953CAE" w14:textId="3EA887D4" w:rsidR="00D56EA7" w:rsidRDefault="00D56EA7" w:rsidP="00D56EA7">
            <w:pPr>
              <w:spacing w:before="0"/>
            </w:pPr>
            <w:r>
              <w:t>21</w:t>
            </w:r>
          </w:p>
        </w:tc>
        <w:tc>
          <w:tcPr>
            <w:tcW w:w="2126" w:type="dxa"/>
          </w:tcPr>
          <w:p w14:paraId="3FD62165" w14:textId="79BF403E" w:rsidR="00D56EA7" w:rsidRPr="002F7C7F" w:rsidRDefault="00D56EA7" w:rsidP="004A34E8">
            <w:pPr>
              <w:pStyle w:val="Heading3"/>
            </w:pPr>
            <w:bookmarkStart w:id="60" w:name="_Compensatory_added_years_1"/>
            <w:bookmarkStart w:id="61" w:name="_Toc177711990"/>
            <w:bookmarkEnd w:id="60"/>
            <w:r w:rsidRPr="002F7C7F">
              <w:t>Compensatory added years</w:t>
            </w:r>
            <w:bookmarkEnd w:id="61"/>
            <w:r w:rsidRPr="002F7C7F">
              <w:t xml:space="preserve"> (CAYs)</w:t>
            </w:r>
          </w:p>
        </w:tc>
        <w:tc>
          <w:tcPr>
            <w:tcW w:w="3686" w:type="dxa"/>
          </w:tcPr>
          <w:p w14:paraId="14CBE694" w14:textId="59C594AB" w:rsidR="00D56EA7" w:rsidRDefault="00D56EA7" w:rsidP="00D56EA7">
            <w:pPr>
              <w:spacing w:before="0"/>
            </w:pPr>
            <w:r>
              <w:t>A person who will receive regular CAYs payments from the administering authority.</w:t>
            </w:r>
          </w:p>
        </w:tc>
        <w:tc>
          <w:tcPr>
            <w:tcW w:w="4819" w:type="dxa"/>
          </w:tcPr>
          <w:p w14:paraId="6D5968CC" w14:textId="2FF76E02" w:rsidR="00D56EA7" w:rsidRDefault="00D56EA7" w:rsidP="00D56EA7">
            <w:pPr>
              <w:spacing w:before="0" w:after="0"/>
            </w:pPr>
            <w:r>
              <w:t xml:space="preserve">Payments are made at the same intervals as the corresponding </w:t>
            </w:r>
            <w:r w:rsidR="00AF1B4E">
              <w:t>LGPS</w:t>
            </w:r>
            <w:r>
              <w:t xml:space="preserve"> pension. However, you can choose different intervals with the person’s agreement.</w:t>
            </w:r>
          </w:p>
        </w:tc>
        <w:tc>
          <w:tcPr>
            <w:tcW w:w="1701" w:type="dxa"/>
          </w:tcPr>
          <w:p w14:paraId="5420E073" w14:textId="77777777" w:rsidR="00D56EA7" w:rsidRDefault="00D56EA7" w:rsidP="00D56EA7">
            <w:pPr>
              <w:spacing w:before="0"/>
            </w:pPr>
            <w:r>
              <w:t>No</w:t>
            </w:r>
          </w:p>
          <w:p w14:paraId="1A163A52" w14:textId="634E7665" w:rsidR="00D56EA7" w:rsidRDefault="00D56EA7" w:rsidP="00D56EA7">
            <w:pPr>
              <w:spacing w:before="0"/>
            </w:pPr>
            <w:r>
              <w:t xml:space="preserve">See </w:t>
            </w:r>
            <w:hyperlink w:anchor="_Note_1" w:history="1">
              <w:r w:rsidRPr="003A659F">
                <w:rPr>
                  <w:rStyle w:val="Hyperlink"/>
                </w:rPr>
                <w:t>Note 1</w:t>
              </w:r>
            </w:hyperlink>
          </w:p>
        </w:tc>
        <w:tc>
          <w:tcPr>
            <w:tcW w:w="1843" w:type="dxa"/>
          </w:tcPr>
          <w:p w14:paraId="61C817F4" w14:textId="61D4A693" w:rsidR="00D56EA7" w:rsidRDefault="00D56EA7" w:rsidP="00D56EA7">
            <w:pPr>
              <w:spacing w:before="0" w:after="0"/>
            </w:pPr>
            <w:r>
              <w:t>29(1)</w:t>
            </w:r>
            <w:r w:rsidRPr="004558FD">
              <w:t xml:space="preserve"> of </w:t>
            </w:r>
            <w:r>
              <w:t>the 1998 Discretionary Regulations</w:t>
            </w:r>
          </w:p>
        </w:tc>
      </w:tr>
      <w:tr w:rsidR="00D56EA7" w14:paraId="7633B764" w14:textId="77777777" w:rsidTr="00AF5D4D">
        <w:trPr>
          <w:cantSplit/>
        </w:trPr>
        <w:tc>
          <w:tcPr>
            <w:tcW w:w="704" w:type="dxa"/>
          </w:tcPr>
          <w:p w14:paraId="528C458C" w14:textId="6F55B96E" w:rsidR="00D56EA7" w:rsidRDefault="00D56EA7" w:rsidP="00D56EA7">
            <w:pPr>
              <w:spacing w:before="0"/>
            </w:pPr>
            <w:r>
              <w:lastRenderedPageBreak/>
              <w:t>22</w:t>
            </w:r>
          </w:p>
        </w:tc>
        <w:tc>
          <w:tcPr>
            <w:tcW w:w="2126" w:type="dxa"/>
          </w:tcPr>
          <w:p w14:paraId="7AF9D1C8" w14:textId="6FA7E60C" w:rsidR="00D56EA7" w:rsidRPr="005E6CA8" w:rsidRDefault="00D56EA7" w:rsidP="004A34E8">
            <w:pPr>
              <w:pStyle w:val="Heading3"/>
            </w:pPr>
            <w:bookmarkStart w:id="62" w:name="_Compensatory_added_years_2"/>
            <w:bookmarkStart w:id="63" w:name="_Toc177711991"/>
            <w:bookmarkEnd w:id="62"/>
            <w:r w:rsidRPr="005E6CA8">
              <w:t>Compensatory added years</w:t>
            </w:r>
            <w:bookmarkEnd w:id="63"/>
            <w:r w:rsidRPr="005E6CA8">
              <w:t xml:space="preserve"> (CAYs)</w:t>
            </w:r>
          </w:p>
        </w:tc>
        <w:tc>
          <w:tcPr>
            <w:tcW w:w="3686" w:type="dxa"/>
          </w:tcPr>
          <w:p w14:paraId="5CF1E841" w14:textId="138F4CDD" w:rsidR="00D56EA7" w:rsidRDefault="00D56EA7" w:rsidP="00D56EA7">
            <w:pPr>
              <w:spacing w:before="0"/>
            </w:pPr>
            <w:r>
              <w:t>A person who received a payment from the administering authority for CAYs in error, including overpayments.</w:t>
            </w:r>
          </w:p>
        </w:tc>
        <w:tc>
          <w:tcPr>
            <w:tcW w:w="4819" w:type="dxa"/>
          </w:tcPr>
          <w:p w14:paraId="6EA4AC12" w14:textId="77777777" w:rsidR="00D56EA7" w:rsidRDefault="00D56EA7" w:rsidP="00D56EA7">
            <w:pPr>
              <w:spacing w:before="0"/>
            </w:pPr>
            <w:r>
              <w:t>Decide how to recover CAYs payments made in error.</w:t>
            </w:r>
          </w:p>
          <w:p w14:paraId="3E6A1498" w14:textId="77777777" w:rsidR="00D56EA7" w:rsidRDefault="00D56EA7" w:rsidP="00D56EA7">
            <w:pPr>
              <w:spacing w:before="0"/>
            </w:pPr>
            <w:r>
              <w:t>You can decide to recover it by:</w:t>
            </w:r>
          </w:p>
          <w:p w14:paraId="06A4CDFC" w14:textId="77777777" w:rsidR="00D56EA7" w:rsidRDefault="00D56EA7" w:rsidP="00D56EA7">
            <w:pPr>
              <w:pStyle w:val="ListBullet"/>
            </w:pPr>
            <w:r>
              <w:t>deducting it from future CAYs payments, or</w:t>
            </w:r>
          </w:p>
          <w:p w14:paraId="4767F688" w14:textId="00D5F956" w:rsidR="00D56EA7" w:rsidRDefault="00D56EA7" w:rsidP="00D56EA7">
            <w:pPr>
              <w:pStyle w:val="ListBullet"/>
            </w:pPr>
            <w:r>
              <w:t>any other means of recovery.</w:t>
            </w:r>
          </w:p>
        </w:tc>
        <w:tc>
          <w:tcPr>
            <w:tcW w:w="1701" w:type="dxa"/>
          </w:tcPr>
          <w:p w14:paraId="67B5E5E1" w14:textId="77777777" w:rsidR="00D56EA7" w:rsidRDefault="00D56EA7" w:rsidP="00D56EA7">
            <w:pPr>
              <w:spacing w:before="0"/>
            </w:pPr>
            <w:r>
              <w:t>No</w:t>
            </w:r>
          </w:p>
          <w:p w14:paraId="7A698EFA" w14:textId="28308047" w:rsidR="00D56EA7" w:rsidRDefault="00D56EA7" w:rsidP="00D56EA7">
            <w:pPr>
              <w:spacing w:before="0"/>
            </w:pPr>
            <w:r>
              <w:t xml:space="preserve">See </w:t>
            </w:r>
            <w:hyperlink w:anchor="_Note_1" w:history="1">
              <w:r w:rsidRPr="003A659F">
                <w:rPr>
                  <w:rStyle w:val="Hyperlink"/>
                </w:rPr>
                <w:t>Note 1</w:t>
              </w:r>
            </w:hyperlink>
          </w:p>
        </w:tc>
        <w:tc>
          <w:tcPr>
            <w:tcW w:w="1843" w:type="dxa"/>
          </w:tcPr>
          <w:p w14:paraId="3E9F0947" w14:textId="4EEB1554" w:rsidR="00D56EA7" w:rsidRDefault="00D56EA7" w:rsidP="00D56EA7">
            <w:pPr>
              <w:spacing w:before="0"/>
            </w:pPr>
            <w:r>
              <w:t>29(3)</w:t>
            </w:r>
            <w:r w:rsidRPr="004558FD">
              <w:t xml:space="preserve"> of </w:t>
            </w:r>
            <w:r>
              <w:t>the 1998 Discretionary Regulations</w:t>
            </w:r>
          </w:p>
        </w:tc>
      </w:tr>
      <w:tr w:rsidR="00D56EA7" w14:paraId="41B2C81C" w14:textId="77777777" w:rsidTr="00AF5D4D">
        <w:trPr>
          <w:cantSplit/>
        </w:trPr>
        <w:tc>
          <w:tcPr>
            <w:tcW w:w="704" w:type="dxa"/>
          </w:tcPr>
          <w:p w14:paraId="5F3FB47B" w14:textId="0BE9F9EA" w:rsidR="00D56EA7" w:rsidRDefault="00D56EA7" w:rsidP="00D56EA7">
            <w:pPr>
              <w:spacing w:before="0"/>
            </w:pPr>
            <w:r>
              <w:t>23</w:t>
            </w:r>
          </w:p>
        </w:tc>
        <w:tc>
          <w:tcPr>
            <w:tcW w:w="2126" w:type="dxa"/>
          </w:tcPr>
          <w:p w14:paraId="29FBCE04" w14:textId="273DD5A2" w:rsidR="00D56EA7" w:rsidRPr="006F79CD" w:rsidRDefault="00D56EA7" w:rsidP="004A34E8">
            <w:pPr>
              <w:pStyle w:val="Heading3"/>
            </w:pPr>
            <w:bookmarkStart w:id="64" w:name="_Death_–_cohabiting"/>
            <w:bookmarkEnd w:id="64"/>
            <w:r w:rsidRPr="006F79CD">
              <w:t>Death – cohabiting partners</w:t>
            </w:r>
          </w:p>
        </w:tc>
        <w:tc>
          <w:tcPr>
            <w:tcW w:w="3686" w:type="dxa"/>
          </w:tcPr>
          <w:p w14:paraId="3C1B488B" w14:textId="49C79C39" w:rsidR="00D56EA7" w:rsidRDefault="00D56EA7" w:rsidP="00D56EA7">
            <w:pPr>
              <w:spacing w:before="0"/>
            </w:pPr>
            <w:r>
              <w:t>A deceased member’s surviving cohabiting partner who may be eligible for a survivor’s pension.</w:t>
            </w:r>
          </w:p>
        </w:tc>
        <w:tc>
          <w:tcPr>
            <w:tcW w:w="4819" w:type="dxa"/>
          </w:tcPr>
          <w:p w14:paraId="7DBAD535" w14:textId="15DCAAD8" w:rsidR="00D56EA7" w:rsidRDefault="00D56EA7" w:rsidP="00D56EA7">
            <w:pPr>
              <w:spacing w:before="0"/>
            </w:pPr>
            <w:r>
              <w:t>Decide the evidence needed to assess the partner’s eligibility for a survivor pension.</w:t>
            </w:r>
          </w:p>
        </w:tc>
        <w:tc>
          <w:tcPr>
            <w:tcW w:w="1701" w:type="dxa"/>
          </w:tcPr>
          <w:p w14:paraId="74DEC422" w14:textId="77777777" w:rsidR="00D56EA7" w:rsidRDefault="00D56EA7" w:rsidP="00D56EA7">
            <w:pPr>
              <w:spacing w:before="0"/>
            </w:pPr>
            <w:r>
              <w:t>No</w:t>
            </w:r>
          </w:p>
          <w:p w14:paraId="039254DC" w14:textId="211751CD" w:rsidR="00D56EA7" w:rsidRDefault="00D56EA7" w:rsidP="00D56EA7">
            <w:pPr>
              <w:spacing w:before="0"/>
            </w:pPr>
            <w:r>
              <w:t xml:space="preserve">See </w:t>
            </w:r>
            <w:hyperlink w:anchor="_Note_1" w:history="1">
              <w:r w:rsidRPr="003A659F">
                <w:rPr>
                  <w:rStyle w:val="Hyperlink"/>
                </w:rPr>
                <w:t>Note 1</w:t>
              </w:r>
            </w:hyperlink>
          </w:p>
        </w:tc>
        <w:tc>
          <w:tcPr>
            <w:tcW w:w="1843" w:type="dxa"/>
          </w:tcPr>
          <w:p w14:paraId="7D63B6BC" w14:textId="77777777" w:rsidR="00D56EA7" w:rsidRDefault="00D56EA7" w:rsidP="00D56EA7">
            <w:pPr>
              <w:spacing w:before="0"/>
            </w:pPr>
            <w:r>
              <w:t>Schedule 1 of the 2018 Regulations</w:t>
            </w:r>
          </w:p>
          <w:p w14:paraId="1FCE201D" w14:textId="5D0007CB" w:rsidR="00D56EA7" w:rsidRDefault="00D56EA7" w:rsidP="00D56EA7">
            <w:pPr>
              <w:spacing w:before="0" w:after="0"/>
            </w:pPr>
            <w:r>
              <w:t>17(9)(b) of the 2014 Transitional Regulations</w:t>
            </w:r>
          </w:p>
        </w:tc>
      </w:tr>
      <w:tr w:rsidR="00D56EA7" w14:paraId="24FDE39D" w14:textId="77777777" w:rsidTr="00AF5D4D">
        <w:trPr>
          <w:cantSplit/>
        </w:trPr>
        <w:tc>
          <w:tcPr>
            <w:tcW w:w="704" w:type="dxa"/>
          </w:tcPr>
          <w:p w14:paraId="1B665288" w14:textId="70324631" w:rsidR="00D56EA7" w:rsidRDefault="00D56EA7" w:rsidP="00D56EA7">
            <w:pPr>
              <w:spacing w:before="0"/>
            </w:pPr>
            <w:r>
              <w:lastRenderedPageBreak/>
              <w:t>24</w:t>
            </w:r>
          </w:p>
        </w:tc>
        <w:tc>
          <w:tcPr>
            <w:tcW w:w="2126" w:type="dxa"/>
          </w:tcPr>
          <w:p w14:paraId="71C15206" w14:textId="0AEC041C" w:rsidR="00D56EA7" w:rsidRPr="00AC1FAF" w:rsidRDefault="00D56EA7" w:rsidP="004A34E8">
            <w:pPr>
              <w:pStyle w:val="Heading3"/>
            </w:pPr>
            <w:bookmarkStart w:id="65" w:name="_Death_–_death"/>
            <w:bookmarkEnd w:id="65"/>
            <w:r w:rsidRPr="00AC1FAF">
              <w:t>Death – death grant</w:t>
            </w:r>
          </w:p>
        </w:tc>
        <w:tc>
          <w:tcPr>
            <w:tcW w:w="3686" w:type="dxa"/>
          </w:tcPr>
          <w:p w14:paraId="329724CD" w14:textId="095FC152" w:rsidR="00D56EA7" w:rsidRDefault="00D56EA7" w:rsidP="00D56EA7">
            <w:pPr>
              <w:spacing w:before="0"/>
            </w:pPr>
            <w:r>
              <w:t>A deceased member who:</w:t>
            </w:r>
          </w:p>
          <w:p w14:paraId="10FA8D94" w14:textId="7A8C3B42" w:rsidR="00D56EA7" w:rsidRDefault="00D56EA7" w:rsidP="00D56EA7">
            <w:pPr>
              <w:pStyle w:val="ListBullet"/>
            </w:pPr>
            <w:r>
              <w:t>left active membership after 31 March 2015, and</w:t>
            </w:r>
          </w:p>
          <w:p w14:paraId="2074A24C" w14:textId="223EEB0F" w:rsidR="00D56EA7" w:rsidRDefault="00D56EA7" w:rsidP="00D56EA7">
            <w:pPr>
              <w:pStyle w:val="ListBullet"/>
            </w:pPr>
            <w:r>
              <w:t>regarding whom a death grant is payable.</w:t>
            </w:r>
          </w:p>
        </w:tc>
        <w:tc>
          <w:tcPr>
            <w:tcW w:w="4819" w:type="dxa"/>
          </w:tcPr>
          <w:p w14:paraId="37F720DD" w14:textId="61784E33" w:rsidR="00D56EA7" w:rsidRDefault="00D56EA7" w:rsidP="00D56EA7">
            <w:pPr>
              <w:spacing w:before="0"/>
            </w:pPr>
            <w:r>
              <w:t>At your absolute discretion, decide who will receive the death grant and in what proportions. You can pay this to, or for the benefit of:</w:t>
            </w:r>
          </w:p>
          <w:p w14:paraId="297E660D" w14:textId="60FA0AE5" w:rsidR="00D56EA7" w:rsidRDefault="00D56EA7" w:rsidP="00D56EA7">
            <w:pPr>
              <w:pStyle w:val="ListBullet"/>
            </w:pPr>
            <w:r>
              <w:t>the member’s nominee,</w:t>
            </w:r>
          </w:p>
          <w:p w14:paraId="1F6583D7" w14:textId="7C2FF206" w:rsidR="00D56EA7" w:rsidRDefault="00D56EA7" w:rsidP="00D56EA7">
            <w:pPr>
              <w:pStyle w:val="ListBullet"/>
            </w:pPr>
            <w:r>
              <w:t>the member’s personal representative, or</w:t>
            </w:r>
          </w:p>
          <w:p w14:paraId="358309AA" w14:textId="0402019D" w:rsidR="00D56EA7" w:rsidRDefault="00D56EA7" w:rsidP="00D56EA7">
            <w:pPr>
              <w:pStyle w:val="ListBullet"/>
            </w:pPr>
            <w:r>
              <w:t>any person appearing to you to have been a relative or dependent of the member.</w:t>
            </w:r>
          </w:p>
        </w:tc>
        <w:tc>
          <w:tcPr>
            <w:tcW w:w="1701" w:type="dxa"/>
          </w:tcPr>
          <w:p w14:paraId="0509DE10" w14:textId="77777777" w:rsidR="00D56EA7" w:rsidRDefault="00D56EA7" w:rsidP="00D56EA7">
            <w:pPr>
              <w:spacing w:before="0"/>
            </w:pPr>
            <w:r>
              <w:t>No</w:t>
            </w:r>
          </w:p>
          <w:p w14:paraId="7F16803E" w14:textId="19E86F7D" w:rsidR="00D56EA7" w:rsidRDefault="00D56EA7" w:rsidP="00D56EA7">
            <w:pPr>
              <w:spacing w:before="0"/>
            </w:pPr>
            <w:r>
              <w:t xml:space="preserve">See </w:t>
            </w:r>
            <w:hyperlink w:anchor="_Note_1" w:history="1">
              <w:r w:rsidRPr="003A659F">
                <w:rPr>
                  <w:rStyle w:val="Hyperlink"/>
                </w:rPr>
                <w:t>Note 1</w:t>
              </w:r>
            </w:hyperlink>
          </w:p>
        </w:tc>
        <w:tc>
          <w:tcPr>
            <w:tcW w:w="1843" w:type="dxa"/>
          </w:tcPr>
          <w:p w14:paraId="1D42C14A" w14:textId="7CDD56F8" w:rsidR="00D56EA7" w:rsidRDefault="00D56EA7" w:rsidP="00D56EA7">
            <w:pPr>
              <w:spacing w:before="0"/>
            </w:pPr>
            <w:r>
              <w:t>38(2), 41(2), 44(2) of the 2018 Regulations</w:t>
            </w:r>
          </w:p>
        </w:tc>
      </w:tr>
      <w:tr w:rsidR="00D56EA7" w14:paraId="3B4A4444" w14:textId="77777777" w:rsidTr="00AF5D4D">
        <w:trPr>
          <w:cantSplit/>
        </w:trPr>
        <w:tc>
          <w:tcPr>
            <w:tcW w:w="704" w:type="dxa"/>
          </w:tcPr>
          <w:p w14:paraId="4F055D2B" w14:textId="63DEDA99" w:rsidR="00D56EA7" w:rsidRDefault="00D56EA7" w:rsidP="00D56EA7">
            <w:pPr>
              <w:spacing w:before="0"/>
            </w:pPr>
            <w:r>
              <w:lastRenderedPageBreak/>
              <w:t>25</w:t>
            </w:r>
          </w:p>
        </w:tc>
        <w:tc>
          <w:tcPr>
            <w:tcW w:w="2126" w:type="dxa"/>
          </w:tcPr>
          <w:p w14:paraId="32A10A82" w14:textId="47B6E894" w:rsidR="00D56EA7" w:rsidRPr="00B56D2E" w:rsidRDefault="00D56EA7" w:rsidP="004A34E8">
            <w:pPr>
              <w:pStyle w:val="Heading3"/>
            </w:pPr>
            <w:bookmarkStart w:id="66" w:name="_Death_–_death_1"/>
            <w:bookmarkStart w:id="67" w:name="_Toc177711994"/>
            <w:bookmarkEnd w:id="66"/>
            <w:r w:rsidRPr="00B56D2E">
              <w:t>Death – death grant</w:t>
            </w:r>
            <w:bookmarkEnd w:id="67"/>
          </w:p>
        </w:tc>
        <w:tc>
          <w:tcPr>
            <w:tcW w:w="3686" w:type="dxa"/>
          </w:tcPr>
          <w:p w14:paraId="7A17FDB6" w14:textId="29B96BAA" w:rsidR="00D56EA7" w:rsidRDefault="00D56EA7" w:rsidP="00D56EA7">
            <w:pPr>
              <w:spacing w:before="0"/>
            </w:pPr>
            <w:r>
              <w:t>A deceased member who:</w:t>
            </w:r>
          </w:p>
          <w:p w14:paraId="056D3970" w14:textId="106BFAEA" w:rsidR="00D56EA7" w:rsidRDefault="00D56EA7" w:rsidP="00D56EA7">
            <w:pPr>
              <w:pStyle w:val="ListBullet"/>
            </w:pPr>
            <w:r>
              <w:t>left active membership before April 2015, and</w:t>
            </w:r>
          </w:p>
          <w:p w14:paraId="671CF7D0" w14:textId="04CDD017" w:rsidR="00D56EA7" w:rsidRDefault="00D56EA7" w:rsidP="00D56EA7">
            <w:pPr>
              <w:pStyle w:val="ListBullet"/>
            </w:pPr>
            <w:r>
              <w:t>regarding whom a death grant is payable.</w:t>
            </w:r>
          </w:p>
        </w:tc>
        <w:tc>
          <w:tcPr>
            <w:tcW w:w="4819" w:type="dxa"/>
          </w:tcPr>
          <w:p w14:paraId="6D3FAEE2" w14:textId="51AF9FD9" w:rsidR="00D56EA7" w:rsidRDefault="00D56EA7" w:rsidP="00D56EA7">
            <w:pPr>
              <w:spacing w:before="0"/>
            </w:pPr>
            <w:r>
              <w:t>At your absolute discretion, decide who will receive the death grant and in what proportions. You can pay this to, or for the benefit of:</w:t>
            </w:r>
          </w:p>
          <w:p w14:paraId="452C21DD" w14:textId="77777777" w:rsidR="00D56EA7" w:rsidRDefault="00D56EA7" w:rsidP="00D56EA7">
            <w:pPr>
              <w:pStyle w:val="ListBullet"/>
            </w:pPr>
            <w:r>
              <w:t>the member’s nominee,</w:t>
            </w:r>
          </w:p>
          <w:p w14:paraId="491BF307" w14:textId="77777777" w:rsidR="00D56EA7" w:rsidRDefault="00D56EA7" w:rsidP="00D56EA7">
            <w:pPr>
              <w:pStyle w:val="ListBullet"/>
            </w:pPr>
            <w:r>
              <w:t>the member’s personal representative, or</w:t>
            </w:r>
          </w:p>
          <w:p w14:paraId="504721EB" w14:textId="430E1E24" w:rsidR="00D56EA7" w:rsidRDefault="00D56EA7" w:rsidP="00D56EA7">
            <w:pPr>
              <w:pStyle w:val="ListBullet"/>
            </w:pPr>
            <w:r>
              <w:t>any person appearing to you to have been a relative or dependent of the member.</w:t>
            </w:r>
          </w:p>
          <w:p w14:paraId="4A6C6A15" w14:textId="379AF0CB" w:rsidR="00D56EA7" w:rsidRDefault="00D56EA7" w:rsidP="00D56EA7">
            <w:r>
              <w:t>If you have not paid the grant within two years of the member’s death, you must pay any unpaid amounts to the personal representatives.</w:t>
            </w:r>
          </w:p>
          <w:p w14:paraId="5D5BD78E" w14:textId="024EA8E6" w:rsidR="00D56EA7" w:rsidRDefault="00D56EA7" w:rsidP="00D56EA7">
            <w:pPr>
              <w:spacing w:before="0" w:after="0"/>
            </w:pPr>
            <w:r>
              <w:t>Where the member left before 1 April 2009 and made a nomination, the nomination automatically ceases to have effect upon the member’s subsequent marriage or civil partnership.</w:t>
            </w:r>
          </w:p>
        </w:tc>
        <w:tc>
          <w:tcPr>
            <w:tcW w:w="1701" w:type="dxa"/>
          </w:tcPr>
          <w:p w14:paraId="5C6A40C3" w14:textId="77777777" w:rsidR="00D56EA7" w:rsidRDefault="00D56EA7" w:rsidP="00D56EA7">
            <w:pPr>
              <w:spacing w:before="0"/>
            </w:pPr>
            <w:r>
              <w:t>No</w:t>
            </w:r>
          </w:p>
          <w:p w14:paraId="27693921" w14:textId="59062946" w:rsidR="00D56EA7" w:rsidRDefault="00D56EA7" w:rsidP="00D56EA7">
            <w:pPr>
              <w:spacing w:before="0"/>
            </w:pPr>
            <w:r>
              <w:t xml:space="preserve">See </w:t>
            </w:r>
            <w:hyperlink w:anchor="_Note_1" w:history="1">
              <w:r w:rsidRPr="003A659F">
                <w:rPr>
                  <w:rStyle w:val="Hyperlink"/>
                </w:rPr>
                <w:t>Note 1</w:t>
              </w:r>
            </w:hyperlink>
          </w:p>
        </w:tc>
        <w:tc>
          <w:tcPr>
            <w:tcW w:w="1843" w:type="dxa"/>
          </w:tcPr>
          <w:p w14:paraId="0A2FBF7F" w14:textId="77777777" w:rsidR="00D56EA7" w:rsidRDefault="00D56EA7" w:rsidP="00D56EA7">
            <w:pPr>
              <w:spacing w:before="0"/>
            </w:pPr>
            <w:r>
              <w:t>32(2) and 35(2) of the 2008 Benefit Regulations</w:t>
            </w:r>
          </w:p>
          <w:p w14:paraId="18D4893F" w14:textId="77777777" w:rsidR="00D56EA7" w:rsidRDefault="00D56EA7" w:rsidP="00D56EA7">
            <w:pPr>
              <w:spacing w:before="0"/>
            </w:pPr>
            <w:r>
              <w:t>37(1) of the 1998 Regulations</w:t>
            </w:r>
          </w:p>
          <w:p w14:paraId="0AC178F7" w14:textId="33F7985F" w:rsidR="00D56EA7" w:rsidRDefault="00D56EA7" w:rsidP="00D56EA7">
            <w:pPr>
              <w:spacing w:before="0"/>
            </w:pPr>
            <w:r>
              <w:t>E11ZA(1) of the 1987 Regulations</w:t>
            </w:r>
          </w:p>
        </w:tc>
      </w:tr>
      <w:tr w:rsidR="00D56EA7" w14:paraId="4064CE70" w14:textId="77777777" w:rsidTr="00AF5D4D">
        <w:trPr>
          <w:cantSplit/>
        </w:trPr>
        <w:tc>
          <w:tcPr>
            <w:tcW w:w="704" w:type="dxa"/>
          </w:tcPr>
          <w:p w14:paraId="3F49EF08" w14:textId="5DF61161" w:rsidR="00D56EA7" w:rsidRDefault="00D56EA7" w:rsidP="00D56EA7">
            <w:pPr>
              <w:spacing w:before="0"/>
            </w:pPr>
            <w:r>
              <w:lastRenderedPageBreak/>
              <w:t>26</w:t>
            </w:r>
          </w:p>
        </w:tc>
        <w:tc>
          <w:tcPr>
            <w:tcW w:w="2126" w:type="dxa"/>
          </w:tcPr>
          <w:p w14:paraId="661C160C" w14:textId="3D2E9654" w:rsidR="00D56EA7" w:rsidRPr="009D5A7E" w:rsidRDefault="00D56EA7" w:rsidP="004A34E8">
            <w:pPr>
              <w:pStyle w:val="Heading3"/>
            </w:pPr>
            <w:bookmarkStart w:id="68" w:name="_Death_–_death_2"/>
            <w:bookmarkStart w:id="69" w:name="_Toc177711995"/>
            <w:bookmarkEnd w:id="68"/>
            <w:r w:rsidRPr="009D5A7E">
              <w:t>Death – death grant</w:t>
            </w:r>
            <w:bookmarkEnd w:id="69"/>
          </w:p>
        </w:tc>
        <w:tc>
          <w:tcPr>
            <w:tcW w:w="3686" w:type="dxa"/>
          </w:tcPr>
          <w:p w14:paraId="78EBA2FC" w14:textId="08160AD9" w:rsidR="00D56EA7" w:rsidRDefault="00D56EA7" w:rsidP="00D56EA7">
            <w:pPr>
              <w:spacing w:before="0"/>
            </w:pPr>
            <w:r>
              <w:t>A deceased pension credit member who:</w:t>
            </w:r>
          </w:p>
          <w:p w14:paraId="02D8A0C0" w14:textId="573EF3CB" w:rsidR="00D56EA7" w:rsidRDefault="00D56EA7" w:rsidP="00D56EA7">
            <w:pPr>
              <w:pStyle w:val="ListBullet"/>
            </w:pPr>
            <w:r>
              <w:t>was awarded the credit under the 2015 Scheme, and</w:t>
            </w:r>
          </w:p>
          <w:p w14:paraId="0BB09D99" w14:textId="524BA356" w:rsidR="00D56EA7" w:rsidRDefault="00D56EA7" w:rsidP="00D56EA7">
            <w:pPr>
              <w:pStyle w:val="ListBullet"/>
            </w:pPr>
            <w:r>
              <w:t>regarding whom a death grant is payable.</w:t>
            </w:r>
          </w:p>
          <w:p w14:paraId="55E31B07" w14:textId="143F8466" w:rsidR="00D56EA7" w:rsidRDefault="00D56EA7" w:rsidP="00D56EA7">
            <w:r>
              <w:t>A credit member is awarded the credit under the 2015 Scheme if:</w:t>
            </w:r>
          </w:p>
          <w:p w14:paraId="44E202BB" w14:textId="77777777" w:rsidR="00D56EA7" w:rsidRDefault="00D56EA7" w:rsidP="00D56EA7">
            <w:pPr>
              <w:pStyle w:val="ListBullet"/>
            </w:pPr>
            <w:r>
              <w:t>the sharing order’s effective date is after March 2015, and</w:t>
            </w:r>
          </w:p>
          <w:p w14:paraId="5E86B0DC" w14:textId="62CC54FF" w:rsidR="00D56EA7" w:rsidRDefault="00D56EA7" w:rsidP="00D56EA7">
            <w:pPr>
              <w:pStyle w:val="ListBullet"/>
            </w:pPr>
            <w:r>
              <w:t>the debit member has 2015 Scheme benefits.</w:t>
            </w:r>
          </w:p>
        </w:tc>
        <w:tc>
          <w:tcPr>
            <w:tcW w:w="4819" w:type="dxa"/>
          </w:tcPr>
          <w:p w14:paraId="7406F49F" w14:textId="77777777" w:rsidR="00D56EA7" w:rsidRDefault="00D56EA7" w:rsidP="00D56EA7">
            <w:pPr>
              <w:spacing w:before="0"/>
            </w:pPr>
            <w:r>
              <w:t>At your absolute discretion, decide who will receive the death grant and in what proportions. You can pay this to, or for the benefit of:</w:t>
            </w:r>
          </w:p>
          <w:p w14:paraId="49E3647B" w14:textId="1E68CA7A" w:rsidR="00D56EA7" w:rsidRDefault="00D56EA7" w:rsidP="00D56EA7">
            <w:pPr>
              <w:pStyle w:val="ListBullet"/>
            </w:pPr>
            <w:r>
              <w:t>the credit member’s nominee,</w:t>
            </w:r>
          </w:p>
          <w:p w14:paraId="5E3C3A1A" w14:textId="77777777" w:rsidR="00D56EA7" w:rsidRDefault="00D56EA7" w:rsidP="00D56EA7">
            <w:pPr>
              <w:pStyle w:val="ListBullet"/>
            </w:pPr>
            <w:r>
              <w:t>the credit member’s personal representative, or</w:t>
            </w:r>
          </w:p>
          <w:p w14:paraId="703BD457" w14:textId="268B9FDF" w:rsidR="00D56EA7" w:rsidRDefault="00D56EA7" w:rsidP="00D56EA7">
            <w:pPr>
              <w:pStyle w:val="ListBullet"/>
            </w:pPr>
            <w:r>
              <w:t>any person appearing to you to have been a relative or dependent of the credit member.</w:t>
            </w:r>
          </w:p>
        </w:tc>
        <w:tc>
          <w:tcPr>
            <w:tcW w:w="1701" w:type="dxa"/>
          </w:tcPr>
          <w:p w14:paraId="0224A01F" w14:textId="77777777" w:rsidR="00D56EA7" w:rsidRDefault="00D56EA7" w:rsidP="00D56EA7">
            <w:pPr>
              <w:spacing w:before="0"/>
            </w:pPr>
            <w:r>
              <w:t>No</w:t>
            </w:r>
          </w:p>
          <w:p w14:paraId="424E0770" w14:textId="52181D30" w:rsidR="00D56EA7" w:rsidRDefault="00D56EA7" w:rsidP="00D56EA7">
            <w:pPr>
              <w:spacing w:before="0"/>
            </w:pPr>
            <w:r>
              <w:t xml:space="preserve">See </w:t>
            </w:r>
            <w:hyperlink w:anchor="_Note_1" w:history="1">
              <w:r w:rsidRPr="003A659F">
                <w:rPr>
                  <w:rStyle w:val="Hyperlink"/>
                </w:rPr>
                <w:t>Note 1</w:t>
              </w:r>
            </w:hyperlink>
          </w:p>
        </w:tc>
        <w:tc>
          <w:tcPr>
            <w:tcW w:w="1843" w:type="dxa"/>
          </w:tcPr>
          <w:p w14:paraId="46803B03" w14:textId="635CF53F" w:rsidR="00D56EA7" w:rsidRDefault="00D56EA7" w:rsidP="00D56EA7">
            <w:pPr>
              <w:spacing w:before="0"/>
            </w:pPr>
            <w:r>
              <w:t>41(2), 44(2) of the 2018 Regulations</w:t>
            </w:r>
          </w:p>
        </w:tc>
      </w:tr>
      <w:tr w:rsidR="00D56EA7" w14:paraId="5BD10DC0" w14:textId="77777777" w:rsidTr="00AF5D4D">
        <w:trPr>
          <w:cantSplit/>
        </w:trPr>
        <w:tc>
          <w:tcPr>
            <w:tcW w:w="704" w:type="dxa"/>
          </w:tcPr>
          <w:p w14:paraId="471E1650" w14:textId="25C851AE" w:rsidR="00D56EA7" w:rsidRDefault="00D56EA7" w:rsidP="00D56EA7">
            <w:pPr>
              <w:spacing w:before="0"/>
            </w:pPr>
            <w:r>
              <w:lastRenderedPageBreak/>
              <w:t>27</w:t>
            </w:r>
          </w:p>
        </w:tc>
        <w:tc>
          <w:tcPr>
            <w:tcW w:w="2126" w:type="dxa"/>
          </w:tcPr>
          <w:p w14:paraId="72DB6DCF" w14:textId="2B85CD34" w:rsidR="00D56EA7" w:rsidRPr="001241E9" w:rsidRDefault="00D56EA7" w:rsidP="004A34E8">
            <w:pPr>
              <w:pStyle w:val="Heading3"/>
            </w:pPr>
            <w:bookmarkStart w:id="70" w:name="_Death_–_death_3"/>
            <w:bookmarkStart w:id="71" w:name="_Toc177711996"/>
            <w:bookmarkEnd w:id="70"/>
            <w:r w:rsidRPr="001241E9">
              <w:t>Death – death grant</w:t>
            </w:r>
            <w:bookmarkEnd w:id="71"/>
          </w:p>
        </w:tc>
        <w:tc>
          <w:tcPr>
            <w:tcW w:w="3686" w:type="dxa"/>
          </w:tcPr>
          <w:p w14:paraId="78E447E8" w14:textId="5EF707D8" w:rsidR="00D56EA7" w:rsidRDefault="00D56EA7" w:rsidP="00D56EA7">
            <w:pPr>
              <w:spacing w:before="0"/>
            </w:pPr>
            <w:r>
              <w:t>A deceased pension credit member who:</w:t>
            </w:r>
          </w:p>
          <w:p w14:paraId="68A7812C" w14:textId="5B325FB8" w:rsidR="00D56EA7" w:rsidRDefault="00D56EA7" w:rsidP="00D56EA7">
            <w:pPr>
              <w:pStyle w:val="ListBullet"/>
            </w:pPr>
            <w:r>
              <w:t>was awarded the credit under the 2009 or 1998 schemes, and</w:t>
            </w:r>
          </w:p>
          <w:p w14:paraId="08695AD1" w14:textId="0267A8C3" w:rsidR="00D56EA7" w:rsidRDefault="00D56EA7" w:rsidP="00D56EA7">
            <w:pPr>
              <w:pStyle w:val="ListBullet"/>
            </w:pPr>
            <w:r>
              <w:t>regarding whom a death grant is payable.</w:t>
            </w:r>
          </w:p>
          <w:p w14:paraId="121C4DD8" w14:textId="77777777" w:rsidR="00D56EA7" w:rsidRDefault="00D56EA7" w:rsidP="00D56EA7">
            <w:r>
              <w:t>The credit will be awarded under these schemes if:</w:t>
            </w:r>
          </w:p>
          <w:p w14:paraId="0A04EB12" w14:textId="2AD6CE7A" w:rsidR="00D56EA7" w:rsidRDefault="00D56EA7" w:rsidP="00D56EA7">
            <w:pPr>
              <w:pStyle w:val="ListBullet"/>
            </w:pPr>
            <w:r>
              <w:t>the sharing order’s effective date was before April 2015, or</w:t>
            </w:r>
          </w:p>
          <w:p w14:paraId="671087EC" w14:textId="1F279DF1" w:rsidR="00D56EA7" w:rsidRDefault="00D56EA7" w:rsidP="00D56EA7">
            <w:pPr>
              <w:pStyle w:val="ListBullet"/>
            </w:pPr>
            <w:r>
              <w:t>the debit member has no 2015 Scheme benefits.</w:t>
            </w:r>
          </w:p>
        </w:tc>
        <w:tc>
          <w:tcPr>
            <w:tcW w:w="4819" w:type="dxa"/>
          </w:tcPr>
          <w:p w14:paraId="047442F5" w14:textId="77777777" w:rsidR="00D56EA7" w:rsidRDefault="00D56EA7" w:rsidP="00D56EA7">
            <w:pPr>
              <w:spacing w:before="0"/>
            </w:pPr>
            <w:r>
              <w:t>At your absolute discretion, decide who will receive the death grant and in what proportions. You can pay this to, or for the benefit of:</w:t>
            </w:r>
          </w:p>
          <w:p w14:paraId="7B39641A" w14:textId="77777777" w:rsidR="00D56EA7" w:rsidRDefault="00D56EA7" w:rsidP="00D56EA7">
            <w:pPr>
              <w:pStyle w:val="ListBullet"/>
            </w:pPr>
            <w:r>
              <w:t>the credit member’s nominee,</w:t>
            </w:r>
          </w:p>
          <w:p w14:paraId="3714AE4E" w14:textId="77777777" w:rsidR="00D56EA7" w:rsidRDefault="00D56EA7" w:rsidP="00D56EA7">
            <w:pPr>
              <w:pStyle w:val="ListBullet"/>
            </w:pPr>
            <w:r>
              <w:t>the credit member’s personal representative, or</w:t>
            </w:r>
          </w:p>
          <w:p w14:paraId="6A0A5419" w14:textId="77777777" w:rsidR="00D56EA7" w:rsidRDefault="00D56EA7" w:rsidP="00D56EA7">
            <w:pPr>
              <w:pStyle w:val="ListBullet"/>
            </w:pPr>
            <w:r>
              <w:t>any person appearing to you to have been a relative or dependent of the credit member.</w:t>
            </w:r>
          </w:p>
          <w:p w14:paraId="2608E9A2" w14:textId="698D8154" w:rsidR="00D56EA7" w:rsidRDefault="00D56EA7" w:rsidP="00D56EA7">
            <w:r>
              <w:t>If you have not paid the grant within two years of the death, you must pay any unpaid amounts to the personal representatives.</w:t>
            </w:r>
          </w:p>
          <w:p w14:paraId="003B4DF7" w14:textId="3FE4DED0" w:rsidR="00D56EA7" w:rsidRDefault="00D56EA7" w:rsidP="00D56EA7">
            <w:pPr>
              <w:spacing w:before="0" w:after="0"/>
            </w:pPr>
            <w:r>
              <w:t>Where the credit was awarded under the 1998 Scheme and the credit member made a nomination, the nomination automatically ceases to have effect upon the credit member’s subsequent marriage or civil partnership.</w:t>
            </w:r>
          </w:p>
        </w:tc>
        <w:tc>
          <w:tcPr>
            <w:tcW w:w="1701" w:type="dxa"/>
          </w:tcPr>
          <w:p w14:paraId="06F15244" w14:textId="77777777" w:rsidR="00D56EA7" w:rsidRDefault="00D56EA7" w:rsidP="00D56EA7">
            <w:pPr>
              <w:spacing w:before="0"/>
            </w:pPr>
            <w:r>
              <w:t>No</w:t>
            </w:r>
          </w:p>
          <w:p w14:paraId="7E2ABF6A" w14:textId="085A3008" w:rsidR="00D56EA7" w:rsidRDefault="00D56EA7" w:rsidP="00D56EA7">
            <w:pPr>
              <w:spacing w:before="0"/>
            </w:pPr>
            <w:r>
              <w:t xml:space="preserve">See </w:t>
            </w:r>
            <w:hyperlink w:anchor="_Note_1" w:history="1">
              <w:r w:rsidRPr="003A659F">
                <w:rPr>
                  <w:rStyle w:val="Hyperlink"/>
                </w:rPr>
                <w:t>Note 1</w:t>
              </w:r>
            </w:hyperlink>
          </w:p>
        </w:tc>
        <w:tc>
          <w:tcPr>
            <w:tcW w:w="1843" w:type="dxa"/>
          </w:tcPr>
          <w:p w14:paraId="5DA0F5BA" w14:textId="77777777" w:rsidR="00D56EA7" w:rsidRDefault="00D56EA7" w:rsidP="00D56EA7">
            <w:pPr>
              <w:spacing w:before="0"/>
            </w:pPr>
            <w:r>
              <w:t>32(2) and 35(2) of the 2008 Benefit Regulations</w:t>
            </w:r>
          </w:p>
          <w:p w14:paraId="02FFCA60" w14:textId="77777777" w:rsidR="00D56EA7" w:rsidRDefault="00D56EA7" w:rsidP="00D56EA7">
            <w:pPr>
              <w:spacing w:before="0"/>
            </w:pPr>
            <w:r>
              <w:t>95(4) of the 2008 Administration Regulations</w:t>
            </w:r>
          </w:p>
          <w:p w14:paraId="48FE38AD" w14:textId="3FDD7D87" w:rsidR="00D56EA7" w:rsidRDefault="00D56EA7" w:rsidP="00D56EA7">
            <w:pPr>
              <w:spacing w:before="0"/>
            </w:pPr>
            <w:r>
              <w:t>37(1) and 150(4) of the 1998 Regulations</w:t>
            </w:r>
          </w:p>
        </w:tc>
      </w:tr>
      <w:tr w:rsidR="00D56EA7" w14:paraId="5E62B126" w14:textId="77777777" w:rsidTr="00AF5D4D">
        <w:trPr>
          <w:cantSplit/>
        </w:trPr>
        <w:tc>
          <w:tcPr>
            <w:tcW w:w="704" w:type="dxa"/>
          </w:tcPr>
          <w:p w14:paraId="5A8D87D5" w14:textId="3881A3EB" w:rsidR="00D56EA7" w:rsidRDefault="00D56EA7" w:rsidP="00D56EA7">
            <w:pPr>
              <w:spacing w:before="0"/>
            </w:pPr>
            <w:r>
              <w:lastRenderedPageBreak/>
              <w:t>28</w:t>
            </w:r>
          </w:p>
        </w:tc>
        <w:tc>
          <w:tcPr>
            <w:tcW w:w="2126" w:type="dxa"/>
          </w:tcPr>
          <w:p w14:paraId="54905C88" w14:textId="29C55DC1" w:rsidR="00D56EA7" w:rsidRPr="002B30BD" w:rsidRDefault="00D56EA7" w:rsidP="004A34E8">
            <w:pPr>
              <w:pStyle w:val="Heading3"/>
            </w:pPr>
            <w:bookmarkStart w:id="72" w:name="_Death_–_small"/>
            <w:bookmarkEnd w:id="72"/>
            <w:r w:rsidRPr="002B30BD">
              <w:t>Death – small payments to estates</w:t>
            </w:r>
          </w:p>
        </w:tc>
        <w:tc>
          <w:tcPr>
            <w:tcW w:w="3686" w:type="dxa"/>
          </w:tcPr>
          <w:p w14:paraId="7FE732CA" w14:textId="1378704E" w:rsidR="00D56EA7" w:rsidRDefault="00D56EA7" w:rsidP="00D56EA7">
            <w:pPr>
              <w:spacing w:before="0"/>
            </w:pPr>
            <w:r>
              <w:t>A person:</w:t>
            </w:r>
          </w:p>
          <w:p w14:paraId="63946FBC" w14:textId="4A751EAA" w:rsidR="00D56EA7" w:rsidRDefault="00D56EA7" w:rsidP="00D56EA7">
            <w:pPr>
              <w:pStyle w:val="ListBullet"/>
            </w:pPr>
            <w:r>
              <w:t xml:space="preserve">who has died, and </w:t>
            </w:r>
          </w:p>
          <w:p w14:paraId="08F4B7EB" w14:textId="2C89B167" w:rsidR="00D56EA7" w:rsidRDefault="00D56EA7" w:rsidP="00D56EA7">
            <w:pPr>
              <w:pStyle w:val="ListBullet"/>
            </w:pPr>
            <w:r>
              <w:t xml:space="preserve">the total amount due under the </w:t>
            </w:r>
            <w:r w:rsidR="005D1B1C">
              <w:t>Scheme</w:t>
            </w:r>
            <w:r>
              <w:t xml:space="preserve"> to the personal representatives does not exceed the amount specified in any order in force under section 6 of the Administration of Estates (Small Payments) Act 1965.</w:t>
            </w:r>
          </w:p>
          <w:p w14:paraId="3BC623E1" w14:textId="77777777" w:rsidR="00D56EA7" w:rsidRDefault="00D56EA7" w:rsidP="00D56EA7">
            <w:r>
              <w:t>The amount currently specified is £5,000.</w:t>
            </w:r>
          </w:p>
          <w:p w14:paraId="413AB87B" w14:textId="362B0BB9" w:rsidR="00D56EA7" w:rsidRDefault="00D56EA7" w:rsidP="00D56EA7">
            <w:pPr>
              <w:spacing w:before="0" w:after="0"/>
            </w:pPr>
            <w:r>
              <w:t>For example, an amount due to the personal representatives at death could include unpaid pension amounts.</w:t>
            </w:r>
          </w:p>
        </w:tc>
        <w:tc>
          <w:tcPr>
            <w:tcW w:w="4819" w:type="dxa"/>
          </w:tcPr>
          <w:p w14:paraId="03E851D1" w14:textId="1F9C87E5" w:rsidR="00D56EA7" w:rsidRDefault="00D56EA7" w:rsidP="00D56EA7">
            <w:pPr>
              <w:spacing w:before="0"/>
            </w:pPr>
            <w:r>
              <w:t>Decide whether to pay the whole or part of the amount to:</w:t>
            </w:r>
          </w:p>
          <w:p w14:paraId="39AC482F" w14:textId="77777777" w:rsidR="00D56EA7" w:rsidRDefault="00D56EA7" w:rsidP="00D56EA7">
            <w:pPr>
              <w:pStyle w:val="ListBullet"/>
            </w:pPr>
            <w:r>
              <w:t>the person’s personal representatives, or</w:t>
            </w:r>
          </w:p>
          <w:p w14:paraId="62AB3B08" w14:textId="5A051FD6" w:rsidR="00D56EA7" w:rsidRDefault="00D56EA7" w:rsidP="00D56EA7">
            <w:pPr>
              <w:pStyle w:val="ListBullet"/>
            </w:pPr>
            <w:r>
              <w:t>any person or persons appearing to you to be beneficiaries to the estate,</w:t>
            </w:r>
          </w:p>
          <w:p w14:paraId="04C40FD1" w14:textId="2D8DBEE9" w:rsidR="00D56EA7" w:rsidRDefault="00D56EA7" w:rsidP="00D56EA7">
            <w:r>
              <w:t>without the need to obtain confirmation of the person’s estate.</w:t>
            </w:r>
          </w:p>
        </w:tc>
        <w:tc>
          <w:tcPr>
            <w:tcW w:w="1701" w:type="dxa"/>
          </w:tcPr>
          <w:p w14:paraId="25D4BD27" w14:textId="77777777" w:rsidR="00D56EA7" w:rsidRDefault="00D56EA7" w:rsidP="00D56EA7">
            <w:pPr>
              <w:spacing w:before="0"/>
            </w:pPr>
            <w:r>
              <w:t>No</w:t>
            </w:r>
          </w:p>
          <w:p w14:paraId="709F8330" w14:textId="19C14084" w:rsidR="00D56EA7" w:rsidRDefault="00D56EA7" w:rsidP="00D56EA7">
            <w:pPr>
              <w:spacing w:before="0"/>
            </w:pPr>
            <w:r>
              <w:t xml:space="preserve">See </w:t>
            </w:r>
            <w:hyperlink w:anchor="_Note_1" w:history="1">
              <w:r w:rsidRPr="003A659F">
                <w:rPr>
                  <w:rStyle w:val="Hyperlink"/>
                </w:rPr>
                <w:t>Note 1</w:t>
              </w:r>
            </w:hyperlink>
          </w:p>
        </w:tc>
        <w:tc>
          <w:tcPr>
            <w:tcW w:w="1843" w:type="dxa"/>
          </w:tcPr>
          <w:p w14:paraId="3E22FF0D" w14:textId="6180B5A9" w:rsidR="00D56EA7" w:rsidRDefault="00D56EA7" w:rsidP="00D56EA7">
            <w:pPr>
              <w:spacing w:before="0"/>
              <w:rPr>
                <w:rStyle w:val="Hyperlink"/>
              </w:rPr>
            </w:pPr>
            <w:r>
              <w:t>77(2) of the 2018 Regulations</w:t>
            </w:r>
          </w:p>
          <w:p w14:paraId="6017ECA5" w14:textId="144048E2" w:rsidR="00D56EA7" w:rsidRDefault="00D56EA7" w:rsidP="00D56EA7">
            <w:pPr>
              <w:spacing w:before="0"/>
            </w:pPr>
            <w:r>
              <w:t>48(2) of the 2008 Administration Regulations</w:t>
            </w:r>
          </w:p>
          <w:p w14:paraId="769CB836" w14:textId="5AB4C65A" w:rsidR="00D56EA7" w:rsidRDefault="00D56EA7" w:rsidP="00D56EA7">
            <w:pPr>
              <w:spacing w:before="0"/>
            </w:pPr>
            <w:r>
              <w:t>94(1) of the 1998 Regulations</w:t>
            </w:r>
          </w:p>
          <w:p w14:paraId="3278C678" w14:textId="34C107E2" w:rsidR="00D56EA7" w:rsidRDefault="00D56EA7" w:rsidP="00D56EA7">
            <w:pPr>
              <w:spacing w:before="0"/>
            </w:pPr>
            <w:r>
              <w:t>4(1)(b) of the 1998 Transitional Regulations</w:t>
            </w:r>
          </w:p>
        </w:tc>
      </w:tr>
      <w:tr w:rsidR="00D56EA7" w14:paraId="284F513A" w14:textId="77777777" w:rsidTr="00AF5D4D">
        <w:trPr>
          <w:cantSplit/>
        </w:trPr>
        <w:tc>
          <w:tcPr>
            <w:tcW w:w="704" w:type="dxa"/>
          </w:tcPr>
          <w:p w14:paraId="2027780D" w14:textId="4D0BDE7B" w:rsidR="00D56EA7" w:rsidRPr="002B2C29" w:rsidRDefault="00D56EA7" w:rsidP="00D56EA7">
            <w:pPr>
              <w:spacing w:before="0"/>
            </w:pPr>
            <w:r w:rsidRPr="002B2C29">
              <w:lastRenderedPageBreak/>
              <w:t>29</w:t>
            </w:r>
          </w:p>
        </w:tc>
        <w:tc>
          <w:tcPr>
            <w:tcW w:w="2126" w:type="dxa"/>
          </w:tcPr>
          <w:p w14:paraId="6B67E6C7" w14:textId="4405735C" w:rsidR="00D56EA7" w:rsidRPr="00290BE4" w:rsidRDefault="00D56EA7" w:rsidP="004A34E8">
            <w:pPr>
              <w:pStyle w:val="Heading3"/>
            </w:pPr>
            <w:bookmarkStart w:id="73" w:name="_Death_–_children’s"/>
            <w:bookmarkEnd w:id="73"/>
            <w:r w:rsidRPr="00290BE4">
              <w:t>Death – children’s pensions</w:t>
            </w:r>
          </w:p>
        </w:tc>
        <w:tc>
          <w:tcPr>
            <w:tcW w:w="3686" w:type="dxa"/>
          </w:tcPr>
          <w:p w14:paraId="55E55AD1" w14:textId="75896C0A" w:rsidR="00D56EA7" w:rsidRPr="002B2C29" w:rsidRDefault="00D56EA7" w:rsidP="00D56EA7">
            <w:pPr>
              <w:spacing w:before="0"/>
            </w:pPr>
            <w:r w:rsidRPr="002B2C29">
              <w:t>A deceased member:</w:t>
            </w:r>
          </w:p>
          <w:p w14:paraId="30B0A7D0" w14:textId="3A8A235A" w:rsidR="00D56EA7" w:rsidRPr="002B2C29" w:rsidRDefault="00D56EA7" w:rsidP="0072339D">
            <w:pPr>
              <w:pStyle w:val="ListBullet"/>
            </w:pPr>
            <w:r w:rsidRPr="002B2C29">
              <w:t xml:space="preserve">regarding whom an eligible </w:t>
            </w:r>
            <w:r w:rsidR="0072339D">
              <w:t>child</w:t>
            </w:r>
            <w:r w:rsidRPr="002B2C29">
              <w:t>’s pension is payable, and</w:t>
            </w:r>
          </w:p>
          <w:p w14:paraId="0C0D46A6" w14:textId="0C2AC6FE" w:rsidR="00D56EA7" w:rsidRPr="002B2C29" w:rsidRDefault="00D56EA7" w:rsidP="00D56EA7">
            <w:pPr>
              <w:pStyle w:val="ListBullet"/>
            </w:pPr>
            <w:r w:rsidRPr="002B2C29">
              <w:t>where the eligible child’s pension consists of or includes pre-April 15 benefits.</w:t>
            </w:r>
          </w:p>
        </w:tc>
        <w:tc>
          <w:tcPr>
            <w:tcW w:w="4819" w:type="dxa"/>
          </w:tcPr>
          <w:p w14:paraId="5E576CF7" w14:textId="032DE3FA" w:rsidR="00D56EA7" w:rsidRPr="002B2C29" w:rsidRDefault="00D56EA7" w:rsidP="00D56EA7">
            <w:pPr>
              <w:spacing w:before="0"/>
            </w:pPr>
            <w:r w:rsidRPr="002B2C29">
              <w:t>Decide whether to pay the whole (or, if the member left the LGPS before 1 April 2009, whole or part) of the child’s pension for pre-April 15 benefits to a person who is not an eligible child.</w:t>
            </w:r>
          </w:p>
          <w:p w14:paraId="745C0693" w14:textId="73590515" w:rsidR="00D56EA7" w:rsidRPr="002B2C29" w:rsidRDefault="00D56EA7" w:rsidP="00D56EA7">
            <w:pPr>
              <w:spacing w:before="0"/>
            </w:pPr>
            <w:r w:rsidRPr="002B2C29">
              <w:t>If so, the pension must be applied for such eligible child’s benefit as you may direct.</w:t>
            </w:r>
          </w:p>
        </w:tc>
        <w:tc>
          <w:tcPr>
            <w:tcW w:w="1701" w:type="dxa"/>
          </w:tcPr>
          <w:p w14:paraId="279DEF11" w14:textId="77777777" w:rsidR="00D56EA7" w:rsidRPr="002B2C29" w:rsidRDefault="00D56EA7" w:rsidP="00D56EA7">
            <w:pPr>
              <w:spacing w:before="0"/>
            </w:pPr>
            <w:r w:rsidRPr="002B2C29">
              <w:t>No</w:t>
            </w:r>
          </w:p>
          <w:p w14:paraId="09751F0E" w14:textId="3548096A" w:rsidR="00D56EA7" w:rsidRPr="002B2C29" w:rsidRDefault="00D56EA7" w:rsidP="00D56EA7">
            <w:pPr>
              <w:spacing w:before="0"/>
            </w:pPr>
            <w:r w:rsidRPr="002B2C29">
              <w:t xml:space="preserve">See </w:t>
            </w:r>
            <w:hyperlink w:anchor="_Note_1" w:history="1">
              <w:r w:rsidRPr="002B2C29">
                <w:rPr>
                  <w:rStyle w:val="Hyperlink"/>
                </w:rPr>
                <w:t>Note 1</w:t>
              </w:r>
            </w:hyperlink>
          </w:p>
        </w:tc>
        <w:tc>
          <w:tcPr>
            <w:tcW w:w="1843" w:type="dxa"/>
          </w:tcPr>
          <w:p w14:paraId="287776E0" w14:textId="2BE3427D" w:rsidR="00D56EA7" w:rsidRPr="002B2C29" w:rsidRDefault="00D56EA7" w:rsidP="00D56EA7">
            <w:pPr>
              <w:spacing w:before="0"/>
            </w:pPr>
            <w:r w:rsidRPr="002B2C29">
              <w:t>27(5) of the 2008 Benefit Regulations</w:t>
            </w:r>
          </w:p>
          <w:p w14:paraId="067625C9" w14:textId="4956D69B" w:rsidR="00D56EA7" w:rsidRPr="002B2C29" w:rsidRDefault="00D56EA7" w:rsidP="00D56EA7">
            <w:pPr>
              <w:spacing w:before="0"/>
            </w:pPr>
            <w:r w:rsidRPr="002B2C29">
              <w:t>46(2) of the 1998 Regulations</w:t>
            </w:r>
          </w:p>
          <w:p w14:paraId="6D35140E" w14:textId="0C042D52" w:rsidR="00D56EA7" w:rsidRPr="002B2C29" w:rsidRDefault="00D56EA7" w:rsidP="00D56EA7">
            <w:pPr>
              <w:spacing w:before="0" w:after="0"/>
            </w:pPr>
            <w:r w:rsidRPr="002B2C29">
              <w:t>E9(7)(b) of the 1987 Regulations</w:t>
            </w:r>
          </w:p>
        </w:tc>
      </w:tr>
      <w:tr w:rsidR="00D56EA7" w14:paraId="2C0A5C84" w14:textId="77777777" w:rsidTr="00692068">
        <w:trPr>
          <w:cantSplit/>
        </w:trPr>
        <w:tc>
          <w:tcPr>
            <w:tcW w:w="704" w:type="dxa"/>
            <w:shd w:val="clear" w:color="auto" w:fill="auto"/>
          </w:tcPr>
          <w:p w14:paraId="31BDD04B" w14:textId="6D8DCE9D" w:rsidR="00D56EA7" w:rsidRPr="00692068" w:rsidRDefault="00D56EA7" w:rsidP="00D56EA7">
            <w:pPr>
              <w:spacing w:before="0"/>
            </w:pPr>
            <w:r w:rsidRPr="00692068">
              <w:lastRenderedPageBreak/>
              <w:t>30</w:t>
            </w:r>
          </w:p>
        </w:tc>
        <w:tc>
          <w:tcPr>
            <w:tcW w:w="2126" w:type="dxa"/>
            <w:shd w:val="clear" w:color="auto" w:fill="auto"/>
          </w:tcPr>
          <w:p w14:paraId="4DAABDD5" w14:textId="5A094C37" w:rsidR="00D56EA7" w:rsidRPr="00692068" w:rsidRDefault="00D56EA7" w:rsidP="004A34E8">
            <w:pPr>
              <w:pStyle w:val="Heading3"/>
            </w:pPr>
            <w:bookmarkStart w:id="74" w:name="_Death_–_children’s_1"/>
            <w:bookmarkStart w:id="75" w:name="_Toc177711999"/>
            <w:bookmarkEnd w:id="74"/>
            <w:r w:rsidRPr="00692068">
              <w:t>Death – children’s pensions</w:t>
            </w:r>
            <w:bookmarkEnd w:id="75"/>
          </w:p>
        </w:tc>
        <w:tc>
          <w:tcPr>
            <w:tcW w:w="3686" w:type="dxa"/>
            <w:shd w:val="clear" w:color="auto" w:fill="auto"/>
          </w:tcPr>
          <w:p w14:paraId="2A416D05" w14:textId="738D5C67" w:rsidR="00D56EA7" w:rsidRPr="00692068" w:rsidRDefault="00D56EA7" w:rsidP="00D56EA7">
            <w:pPr>
              <w:spacing w:before="0"/>
            </w:pPr>
            <w:r w:rsidRPr="00692068">
              <w:t>A person who potentially qualifies as an eligible child and has had a break in full-time education or vocational training.</w:t>
            </w:r>
          </w:p>
        </w:tc>
        <w:tc>
          <w:tcPr>
            <w:tcW w:w="4819" w:type="dxa"/>
            <w:shd w:val="clear" w:color="auto" w:fill="auto"/>
          </w:tcPr>
          <w:p w14:paraId="2B002E16" w14:textId="2FCD27B6" w:rsidR="00D56EA7" w:rsidRPr="00692068" w:rsidRDefault="00D56EA7" w:rsidP="00D56EA7">
            <w:pPr>
              <w:spacing w:before="0"/>
            </w:pPr>
            <w:r w:rsidRPr="00692068">
              <w:t>Decide whether to disregard the break when considering whether the person qualifies as an eligible child.</w:t>
            </w:r>
          </w:p>
        </w:tc>
        <w:tc>
          <w:tcPr>
            <w:tcW w:w="1701" w:type="dxa"/>
            <w:shd w:val="clear" w:color="auto" w:fill="auto"/>
          </w:tcPr>
          <w:p w14:paraId="6933D131" w14:textId="77777777" w:rsidR="00D56EA7" w:rsidRPr="00692068" w:rsidRDefault="00D56EA7" w:rsidP="00D56EA7">
            <w:pPr>
              <w:spacing w:before="0"/>
            </w:pPr>
            <w:r w:rsidRPr="00692068">
              <w:t>No</w:t>
            </w:r>
          </w:p>
          <w:p w14:paraId="40F4D098" w14:textId="30EF58F1" w:rsidR="00D56EA7" w:rsidRPr="00692068" w:rsidRDefault="00D56EA7" w:rsidP="00D56EA7">
            <w:pPr>
              <w:spacing w:before="0"/>
            </w:pPr>
            <w:r w:rsidRPr="00692068">
              <w:t xml:space="preserve">See </w:t>
            </w:r>
            <w:hyperlink w:anchor="_Note_1" w:history="1">
              <w:r w:rsidRPr="00692068">
                <w:rPr>
                  <w:rStyle w:val="Hyperlink"/>
                </w:rPr>
                <w:t>Note 1</w:t>
              </w:r>
            </w:hyperlink>
          </w:p>
        </w:tc>
        <w:tc>
          <w:tcPr>
            <w:tcW w:w="1843" w:type="dxa"/>
            <w:shd w:val="clear" w:color="auto" w:fill="auto"/>
          </w:tcPr>
          <w:p w14:paraId="02C3C95E" w14:textId="77777777" w:rsidR="00D56EA7" w:rsidRPr="00692068" w:rsidRDefault="00D56EA7" w:rsidP="00D56EA7">
            <w:pPr>
              <w:spacing w:before="0"/>
            </w:pPr>
            <w:r w:rsidRPr="00692068">
              <w:t>Schedule 1 of the 2018 Regulations</w:t>
            </w:r>
          </w:p>
          <w:p w14:paraId="5184F331" w14:textId="612BA0A5" w:rsidR="00D56EA7" w:rsidRPr="00692068" w:rsidRDefault="00D56EA7" w:rsidP="00D56EA7">
            <w:pPr>
              <w:spacing w:before="0"/>
            </w:pPr>
            <w:r w:rsidRPr="00692068">
              <w:t>26(5) of the 2008 Benefit Regulations</w:t>
            </w:r>
          </w:p>
          <w:p w14:paraId="74728872" w14:textId="77777777" w:rsidR="00D56EA7" w:rsidRPr="00692068" w:rsidRDefault="00D56EA7" w:rsidP="00D56EA7">
            <w:pPr>
              <w:spacing w:before="0"/>
            </w:pPr>
            <w:r w:rsidRPr="00692068">
              <w:t>43(3) of the 1998 Regulations</w:t>
            </w:r>
          </w:p>
          <w:p w14:paraId="0AF31F74" w14:textId="68E981F6" w:rsidR="00D56EA7" w:rsidRPr="00692068" w:rsidRDefault="00D56EA7" w:rsidP="00D56EA7">
            <w:pPr>
              <w:spacing w:before="0" w:after="0"/>
            </w:pPr>
            <w:r w:rsidRPr="00692068">
              <w:t>Schedule 1 of the 1987 Regulations</w:t>
            </w:r>
          </w:p>
        </w:tc>
      </w:tr>
      <w:tr w:rsidR="00D56EA7" w14:paraId="3DBF699F" w14:textId="77777777" w:rsidTr="001D21CE">
        <w:trPr>
          <w:cantSplit/>
        </w:trPr>
        <w:tc>
          <w:tcPr>
            <w:tcW w:w="704" w:type="dxa"/>
            <w:shd w:val="clear" w:color="auto" w:fill="auto"/>
          </w:tcPr>
          <w:p w14:paraId="538BE0C3" w14:textId="6A95E5CA" w:rsidR="00D56EA7" w:rsidRPr="00636E2B" w:rsidRDefault="00D56EA7" w:rsidP="00D56EA7">
            <w:pPr>
              <w:spacing w:before="0"/>
            </w:pPr>
            <w:r w:rsidRPr="00636E2B">
              <w:t>31</w:t>
            </w:r>
          </w:p>
        </w:tc>
        <w:tc>
          <w:tcPr>
            <w:tcW w:w="2126" w:type="dxa"/>
            <w:shd w:val="clear" w:color="auto" w:fill="auto"/>
          </w:tcPr>
          <w:p w14:paraId="2C9FB340" w14:textId="5D8BB42C" w:rsidR="00D56EA7" w:rsidRPr="006923FC" w:rsidRDefault="00D56EA7" w:rsidP="004A34E8">
            <w:pPr>
              <w:pStyle w:val="Heading3"/>
            </w:pPr>
            <w:bookmarkStart w:id="76" w:name="_Death_–_children’s_2"/>
            <w:bookmarkStart w:id="77" w:name="_Toc177712001"/>
            <w:bookmarkEnd w:id="76"/>
            <w:r w:rsidRPr="006923FC">
              <w:t>Death – children’s pensions</w:t>
            </w:r>
            <w:bookmarkEnd w:id="77"/>
          </w:p>
        </w:tc>
        <w:tc>
          <w:tcPr>
            <w:tcW w:w="3686" w:type="dxa"/>
            <w:shd w:val="clear" w:color="auto" w:fill="auto"/>
          </w:tcPr>
          <w:p w14:paraId="1B117AC3" w14:textId="611A3408" w:rsidR="00D56EA7" w:rsidRPr="00636E2B" w:rsidRDefault="00D56EA7" w:rsidP="00D56EA7">
            <w:pPr>
              <w:spacing w:before="0"/>
            </w:pPr>
            <w:r>
              <w:t>If</w:t>
            </w:r>
            <w:r w:rsidRPr="00636E2B">
              <w:t>:</w:t>
            </w:r>
          </w:p>
          <w:p w14:paraId="44587AFF" w14:textId="344D5A71" w:rsidR="00D56EA7" w:rsidRPr="00636E2B" w:rsidRDefault="00D56EA7" w:rsidP="00D56EA7">
            <w:pPr>
              <w:pStyle w:val="ListBullet"/>
            </w:pPr>
            <w:r w:rsidRPr="00636E2B">
              <w:t>there is more than one eligible child, and</w:t>
            </w:r>
          </w:p>
          <w:p w14:paraId="05AC764B" w14:textId="4A2AD200" w:rsidR="00D56EA7" w:rsidRPr="00636E2B" w:rsidRDefault="00D56EA7" w:rsidP="00D56EA7">
            <w:pPr>
              <w:pStyle w:val="ListBullet"/>
            </w:pPr>
            <w:r w:rsidRPr="00636E2B">
              <w:t>the deceased member left membership before 1 April 2009.</w:t>
            </w:r>
          </w:p>
        </w:tc>
        <w:tc>
          <w:tcPr>
            <w:tcW w:w="4819" w:type="dxa"/>
            <w:shd w:val="clear" w:color="auto" w:fill="auto"/>
          </w:tcPr>
          <w:p w14:paraId="4C409177" w14:textId="77777777" w:rsidR="00D56EA7" w:rsidRDefault="00D56EA7" w:rsidP="00D56EA7">
            <w:pPr>
              <w:spacing w:before="0"/>
            </w:pPr>
            <w:r w:rsidRPr="00636E2B">
              <w:t>Decide how to apportion the pension amongst the children as you think fit.</w:t>
            </w:r>
          </w:p>
          <w:p w14:paraId="4442DF22" w14:textId="4195AD82" w:rsidR="00D56EA7" w:rsidRPr="00636E2B" w:rsidRDefault="00D56EA7" w:rsidP="00D56EA7">
            <w:pPr>
              <w:spacing w:before="0"/>
            </w:pPr>
            <w:r>
              <w:t>If the member left after 31 March 2009, you must share the pension equally.</w:t>
            </w:r>
          </w:p>
        </w:tc>
        <w:tc>
          <w:tcPr>
            <w:tcW w:w="1701" w:type="dxa"/>
            <w:shd w:val="clear" w:color="auto" w:fill="auto"/>
          </w:tcPr>
          <w:p w14:paraId="537D5BD4" w14:textId="77777777" w:rsidR="00D56EA7" w:rsidRPr="00636E2B" w:rsidRDefault="00D56EA7" w:rsidP="00D56EA7">
            <w:pPr>
              <w:spacing w:before="0"/>
            </w:pPr>
            <w:r w:rsidRPr="00636E2B">
              <w:t>No</w:t>
            </w:r>
          </w:p>
          <w:p w14:paraId="5476E48E" w14:textId="0E685479" w:rsidR="00D56EA7" w:rsidRPr="00636E2B" w:rsidRDefault="00D56EA7" w:rsidP="00D56EA7">
            <w:pPr>
              <w:spacing w:before="0"/>
            </w:pPr>
            <w:r w:rsidRPr="00636E2B">
              <w:t xml:space="preserve">See </w:t>
            </w:r>
            <w:hyperlink w:anchor="_Note_1" w:history="1">
              <w:r w:rsidRPr="00636E2B">
                <w:rPr>
                  <w:rStyle w:val="Hyperlink"/>
                </w:rPr>
                <w:t>Note 1</w:t>
              </w:r>
            </w:hyperlink>
          </w:p>
        </w:tc>
        <w:tc>
          <w:tcPr>
            <w:tcW w:w="1843" w:type="dxa"/>
            <w:shd w:val="clear" w:color="auto" w:fill="auto"/>
          </w:tcPr>
          <w:p w14:paraId="5FFAA331" w14:textId="6A4ED42A" w:rsidR="00D56EA7" w:rsidRPr="00636E2B" w:rsidRDefault="00D56EA7" w:rsidP="00D56EA7">
            <w:pPr>
              <w:spacing w:before="0"/>
            </w:pPr>
            <w:r w:rsidRPr="00636E2B">
              <w:t>46(1) of the 1998 Regulations</w:t>
            </w:r>
          </w:p>
          <w:p w14:paraId="702B072E" w14:textId="445539FC" w:rsidR="00D56EA7" w:rsidRPr="00636E2B" w:rsidRDefault="00D56EA7" w:rsidP="00D56EA7">
            <w:pPr>
              <w:spacing w:before="0" w:after="0"/>
            </w:pPr>
            <w:r w:rsidRPr="00636E2B">
              <w:t>E9(7)(a) of the 1987 Regulations</w:t>
            </w:r>
          </w:p>
        </w:tc>
      </w:tr>
      <w:tr w:rsidR="00D56EA7" w14:paraId="40E819C2" w14:textId="77777777" w:rsidTr="00AF5D4D">
        <w:trPr>
          <w:cantSplit/>
        </w:trPr>
        <w:tc>
          <w:tcPr>
            <w:tcW w:w="704" w:type="dxa"/>
          </w:tcPr>
          <w:p w14:paraId="4C2098D5" w14:textId="17A50F27" w:rsidR="00D56EA7" w:rsidRDefault="00D56EA7" w:rsidP="00D56EA7">
            <w:pPr>
              <w:spacing w:before="0"/>
            </w:pPr>
            <w:r>
              <w:lastRenderedPageBreak/>
              <w:t>32</w:t>
            </w:r>
          </w:p>
        </w:tc>
        <w:tc>
          <w:tcPr>
            <w:tcW w:w="2126" w:type="dxa"/>
          </w:tcPr>
          <w:p w14:paraId="74116B4D" w14:textId="3963FE53" w:rsidR="00D56EA7" w:rsidRPr="003D09B6" w:rsidRDefault="00D56EA7" w:rsidP="004A34E8">
            <w:pPr>
              <w:pStyle w:val="Heading3"/>
            </w:pPr>
            <w:bookmarkStart w:id="78" w:name="_Death_–_survivor"/>
            <w:bookmarkEnd w:id="78"/>
            <w:r w:rsidRPr="003D09B6">
              <w:t>Death – survivor pensions</w:t>
            </w:r>
          </w:p>
        </w:tc>
        <w:tc>
          <w:tcPr>
            <w:tcW w:w="3686" w:type="dxa"/>
          </w:tcPr>
          <w:p w14:paraId="5C1795BA" w14:textId="3009D0F1" w:rsidR="00D56EA7" w:rsidRDefault="00D56EA7" w:rsidP="00D56EA7">
            <w:pPr>
              <w:spacing w:before="0"/>
            </w:pPr>
            <w:r>
              <w:t>In respect of a deceased member who left before 1 April 1998, a survivor pension is payable to a person:</w:t>
            </w:r>
          </w:p>
          <w:p w14:paraId="34FE62A0" w14:textId="51D4E01C" w:rsidR="00D56EA7" w:rsidRDefault="00D56EA7" w:rsidP="00D56EA7">
            <w:pPr>
              <w:pStyle w:val="ListBullet"/>
            </w:pPr>
            <w:r>
              <w:t>who subsequently married or cohabited,</w:t>
            </w:r>
          </w:p>
          <w:p w14:paraId="45F8181F" w14:textId="7B515303" w:rsidR="00D56EA7" w:rsidRDefault="00D56EA7" w:rsidP="00D56EA7">
            <w:pPr>
              <w:pStyle w:val="ListBullet"/>
            </w:pPr>
            <w:r>
              <w:t>whose pension was suspended upon marriage or cohabitation, and</w:t>
            </w:r>
          </w:p>
          <w:p w14:paraId="5B4E6AD2" w14:textId="6FB48A53" w:rsidR="00D56EA7" w:rsidRDefault="00D56EA7" w:rsidP="00D56EA7">
            <w:pPr>
              <w:pStyle w:val="ListBullet"/>
            </w:pPr>
            <w:r>
              <w:t>whose marriage or cohabitation ended.</w:t>
            </w:r>
          </w:p>
        </w:tc>
        <w:tc>
          <w:tcPr>
            <w:tcW w:w="4819" w:type="dxa"/>
          </w:tcPr>
          <w:p w14:paraId="6A64F23F" w14:textId="48613229" w:rsidR="00D56EA7" w:rsidRDefault="00D56EA7" w:rsidP="00D56EA7">
            <w:pPr>
              <w:spacing w:before="0"/>
            </w:pPr>
            <w:r>
              <w:t>Decide whether to resume payment of the pension.</w:t>
            </w:r>
          </w:p>
        </w:tc>
        <w:tc>
          <w:tcPr>
            <w:tcW w:w="1701" w:type="dxa"/>
          </w:tcPr>
          <w:p w14:paraId="5A20E720" w14:textId="77777777" w:rsidR="00D56EA7" w:rsidRDefault="00D56EA7" w:rsidP="00D56EA7">
            <w:pPr>
              <w:spacing w:before="0"/>
            </w:pPr>
            <w:r>
              <w:t>No</w:t>
            </w:r>
          </w:p>
          <w:p w14:paraId="3DAE53AC" w14:textId="3985B942"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63CCBFD4" w14:textId="4089BCC1" w:rsidR="00D56EA7" w:rsidRDefault="00D56EA7" w:rsidP="00D56EA7">
            <w:pPr>
              <w:spacing w:before="0"/>
            </w:pPr>
            <w:r>
              <w:t>E5(6) of the 1987 Regulations</w:t>
            </w:r>
          </w:p>
        </w:tc>
      </w:tr>
      <w:tr w:rsidR="00D56EA7" w14:paraId="545A44AE" w14:textId="77777777" w:rsidTr="00AF5D4D">
        <w:trPr>
          <w:cantSplit/>
        </w:trPr>
        <w:tc>
          <w:tcPr>
            <w:tcW w:w="704" w:type="dxa"/>
          </w:tcPr>
          <w:p w14:paraId="574AC755" w14:textId="5346228A" w:rsidR="00D56EA7" w:rsidRDefault="00D56EA7" w:rsidP="00D56EA7">
            <w:pPr>
              <w:spacing w:before="0"/>
            </w:pPr>
            <w:r>
              <w:lastRenderedPageBreak/>
              <w:t>33</w:t>
            </w:r>
          </w:p>
        </w:tc>
        <w:tc>
          <w:tcPr>
            <w:tcW w:w="2126" w:type="dxa"/>
          </w:tcPr>
          <w:p w14:paraId="6ACDF01A" w14:textId="03D0FA91" w:rsidR="00D56EA7" w:rsidRPr="003D09B6" w:rsidRDefault="00D56EA7" w:rsidP="004A34E8">
            <w:pPr>
              <w:pStyle w:val="Heading3"/>
            </w:pPr>
            <w:bookmarkStart w:id="79" w:name="_Divorce_/_dissolution"/>
            <w:bookmarkEnd w:id="79"/>
            <w:r w:rsidRPr="003D09B6">
              <w:t>Divorce</w:t>
            </w:r>
            <w:r w:rsidR="00D65447">
              <w:t xml:space="preserve"> / dissolution of civil partnership</w:t>
            </w:r>
          </w:p>
        </w:tc>
        <w:tc>
          <w:tcPr>
            <w:tcW w:w="3686" w:type="dxa"/>
          </w:tcPr>
          <w:p w14:paraId="798108AF" w14:textId="75A1B024" w:rsidR="00D56EA7" w:rsidRDefault="00D56EA7" w:rsidP="00D56EA7">
            <w:pPr>
              <w:spacing w:before="0"/>
            </w:pPr>
            <w:r>
              <w:t>A person entitled to a pension credit</w:t>
            </w:r>
          </w:p>
        </w:tc>
        <w:tc>
          <w:tcPr>
            <w:tcW w:w="4819" w:type="dxa"/>
          </w:tcPr>
          <w:p w14:paraId="3DB205BA" w14:textId="03C1C0C4" w:rsidR="00D56EA7" w:rsidRDefault="00D56EA7" w:rsidP="00D56EA7">
            <w:pPr>
              <w:spacing w:before="0"/>
            </w:pPr>
            <w:r>
              <w:t>Decide how to discharge the liability.</w:t>
            </w:r>
          </w:p>
          <w:p w14:paraId="4433633E" w14:textId="77777777" w:rsidR="00D56EA7" w:rsidRDefault="00D56EA7" w:rsidP="00D56EA7">
            <w:pPr>
              <w:spacing w:before="0"/>
            </w:pPr>
            <w:r>
              <w:t>This can be done by either:</w:t>
            </w:r>
          </w:p>
          <w:p w14:paraId="3FD2BC5F" w14:textId="48A72841" w:rsidR="00D56EA7" w:rsidRDefault="00D56EA7" w:rsidP="00D56EA7">
            <w:pPr>
              <w:pStyle w:val="ListBullet"/>
            </w:pPr>
            <w:r>
              <w:t xml:space="preserve">awarding </w:t>
            </w:r>
            <w:r w:rsidR="00AF1B4E">
              <w:t>LGPS</w:t>
            </w:r>
            <w:r>
              <w:t xml:space="preserve"> benefits, or</w:t>
            </w:r>
          </w:p>
          <w:p w14:paraId="6DF74431" w14:textId="457B0D5A" w:rsidR="00D56EA7" w:rsidRDefault="00D56EA7" w:rsidP="00D56EA7">
            <w:pPr>
              <w:pStyle w:val="ListBullet"/>
            </w:pPr>
            <w:r>
              <w:t>paying the credit to a qualifying scheme.</w:t>
            </w:r>
          </w:p>
          <w:p w14:paraId="2FF7A75F" w14:textId="55D8DC2C" w:rsidR="00D56EA7" w:rsidRDefault="00D56EA7" w:rsidP="00D56EA7">
            <w:r>
              <w:t>The person must consent to the decision unless regulation 7 of the Pension Sharing (Implementation and Discharge of Liability) Regulations 2000 applies.</w:t>
            </w:r>
          </w:p>
          <w:p w14:paraId="2BC9E74A" w14:textId="19AB897F" w:rsidR="00D56EA7" w:rsidRDefault="00D56EA7" w:rsidP="00D56EA7">
            <w:r>
              <w:t xml:space="preserve">Where the person consents to </w:t>
            </w:r>
            <w:r w:rsidR="00AF1B4E">
              <w:t>LGPS</w:t>
            </w:r>
            <w:r>
              <w:t xml:space="preserve"> benefits, you can only implement this if:</w:t>
            </w:r>
          </w:p>
          <w:p w14:paraId="33312A1A" w14:textId="15975477" w:rsidR="00D56EA7" w:rsidRDefault="00D56EA7" w:rsidP="00D56EA7">
            <w:pPr>
              <w:pStyle w:val="ListBullet"/>
            </w:pPr>
            <w:r>
              <w:t>you give the person seven days to change their mind, and</w:t>
            </w:r>
          </w:p>
          <w:p w14:paraId="6637097F" w14:textId="4FA5AE56" w:rsidR="00D56EA7" w:rsidRDefault="00D56EA7" w:rsidP="00D56EA7">
            <w:pPr>
              <w:pStyle w:val="ListBullet"/>
            </w:pPr>
            <w:r>
              <w:t>before giving the consent, the person had received a written offer to pay the credit to a different scheme.</w:t>
            </w:r>
          </w:p>
        </w:tc>
        <w:tc>
          <w:tcPr>
            <w:tcW w:w="1701" w:type="dxa"/>
          </w:tcPr>
          <w:p w14:paraId="449FF0EF" w14:textId="77777777" w:rsidR="00D56EA7" w:rsidRDefault="00D56EA7" w:rsidP="00D56EA7">
            <w:pPr>
              <w:spacing w:before="0"/>
            </w:pPr>
            <w:r>
              <w:t>No</w:t>
            </w:r>
          </w:p>
          <w:p w14:paraId="68744AF0" w14:textId="46EAED2C"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46F131ED" w14:textId="77777777" w:rsidR="00D56EA7" w:rsidRDefault="00D56EA7" w:rsidP="00D56EA7">
            <w:pPr>
              <w:spacing w:before="0"/>
            </w:pPr>
            <w:r>
              <w:t>89 of the 2008 Administration Regulations</w:t>
            </w:r>
          </w:p>
          <w:p w14:paraId="506BD86A" w14:textId="51D3B07D" w:rsidR="00D56EA7" w:rsidRDefault="00D56EA7" w:rsidP="00D56EA7">
            <w:pPr>
              <w:spacing w:before="0"/>
            </w:pPr>
            <w:r>
              <w:t>Paragraph 1(3)(c) of schedule 5 to the Welfare Reform and Pensions Act 1999</w:t>
            </w:r>
          </w:p>
        </w:tc>
      </w:tr>
      <w:tr w:rsidR="008541A7" w14:paraId="1A72D7C7" w14:textId="77777777" w:rsidTr="0050752B">
        <w:trPr>
          <w:cantSplit/>
        </w:trPr>
        <w:tc>
          <w:tcPr>
            <w:tcW w:w="704" w:type="dxa"/>
            <w:shd w:val="clear" w:color="auto" w:fill="auto"/>
          </w:tcPr>
          <w:p w14:paraId="713802AA" w14:textId="42F7EC6E" w:rsidR="008541A7" w:rsidRPr="0050752B" w:rsidRDefault="008541A7" w:rsidP="00D56EA7">
            <w:pPr>
              <w:spacing w:before="0"/>
            </w:pPr>
            <w:r w:rsidRPr="0050752B">
              <w:lastRenderedPageBreak/>
              <w:t>34</w:t>
            </w:r>
          </w:p>
        </w:tc>
        <w:tc>
          <w:tcPr>
            <w:tcW w:w="2126" w:type="dxa"/>
            <w:shd w:val="clear" w:color="auto" w:fill="auto"/>
          </w:tcPr>
          <w:p w14:paraId="0CCB3324" w14:textId="771AD51D" w:rsidR="008541A7" w:rsidRPr="0050752B" w:rsidRDefault="008541A7" w:rsidP="004A34E8">
            <w:pPr>
              <w:pStyle w:val="Heading3"/>
            </w:pPr>
            <w:bookmarkStart w:id="80" w:name="_Divorce_/_dissolution_1"/>
            <w:bookmarkEnd w:id="80"/>
            <w:r w:rsidRPr="0050752B">
              <w:t>Divorce / dissolution of civil partnership</w:t>
            </w:r>
          </w:p>
        </w:tc>
        <w:tc>
          <w:tcPr>
            <w:tcW w:w="3686" w:type="dxa"/>
            <w:shd w:val="clear" w:color="auto" w:fill="auto"/>
          </w:tcPr>
          <w:p w14:paraId="6A759776" w14:textId="7F4F5B79" w:rsidR="008541A7" w:rsidRPr="0050752B" w:rsidRDefault="00FB794E" w:rsidP="00D56EA7">
            <w:pPr>
              <w:spacing w:before="0"/>
            </w:pPr>
            <w:r w:rsidRPr="0050752B">
              <w:t>A person entitled to a pension credit</w:t>
            </w:r>
            <w:r w:rsidR="000E24AE" w:rsidRPr="0050752B">
              <w:t>.</w:t>
            </w:r>
          </w:p>
        </w:tc>
        <w:tc>
          <w:tcPr>
            <w:tcW w:w="4819" w:type="dxa"/>
            <w:shd w:val="clear" w:color="auto" w:fill="auto"/>
          </w:tcPr>
          <w:p w14:paraId="2665CB42" w14:textId="1D0BBEAE" w:rsidR="008541A7" w:rsidRPr="0050752B" w:rsidRDefault="00FB794E" w:rsidP="00D56EA7">
            <w:pPr>
              <w:spacing w:before="0"/>
            </w:pPr>
            <w:r w:rsidRPr="0050752B">
              <w:t xml:space="preserve">Determine the valuation day to </w:t>
            </w:r>
            <w:r w:rsidR="00EE6194" w:rsidRPr="0050752B">
              <w:t>discharge the pension credit</w:t>
            </w:r>
            <w:r w:rsidR="000E24AE" w:rsidRPr="0050752B">
              <w:t xml:space="preserve"> liability</w:t>
            </w:r>
            <w:r w:rsidR="00EE6194" w:rsidRPr="0050752B">
              <w:t>.</w:t>
            </w:r>
          </w:p>
          <w:p w14:paraId="1192FF56" w14:textId="77777777" w:rsidR="00FB794E" w:rsidRPr="0050752B" w:rsidRDefault="00FB794E" w:rsidP="00D56EA7">
            <w:pPr>
              <w:spacing w:before="0"/>
            </w:pPr>
            <w:r w:rsidRPr="0050752B">
              <w:t xml:space="preserve">The valuation day </w:t>
            </w:r>
            <w:r w:rsidR="00EE6194" w:rsidRPr="0050752B">
              <w:t>can be any day within the “implementation period”.</w:t>
            </w:r>
          </w:p>
          <w:p w14:paraId="3C406A3A" w14:textId="736A4CD9" w:rsidR="0071015B" w:rsidRPr="0050752B" w:rsidRDefault="0071015B" w:rsidP="00D56EA7">
            <w:pPr>
              <w:spacing w:before="0"/>
            </w:pPr>
            <w:r w:rsidRPr="0050752B">
              <w:t>Section 34 of the Welfare Reform and Pensions Act 1999 defines “implementation period”.</w:t>
            </w:r>
          </w:p>
        </w:tc>
        <w:tc>
          <w:tcPr>
            <w:tcW w:w="1701" w:type="dxa"/>
            <w:shd w:val="clear" w:color="auto" w:fill="auto"/>
          </w:tcPr>
          <w:p w14:paraId="24411421" w14:textId="77777777" w:rsidR="000E24AE" w:rsidRPr="0050752B" w:rsidRDefault="000E24AE" w:rsidP="000E24AE">
            <w:pPr>
              <w:spacing w:before="0"/>
            </w:pPr>
            <w:r w:rsidRPr="0050752B">
              <w:t>No</w:t>
            </w:r>
          </w:p>
          <w:p w14:paraId="0E37FD2E" w14:textId="6FADF2FA" w:rsidR="008541A7" w:rsidRPr="0050752B" w:rsidRDefault="000E24AE" w:rsidP="000E24AE">
            <w:pPr>
              <w:spacing w:before="0"/>
              <w:rPr>
                <w:b/>
                <w:bCs/>
              </w:rPr>
            </w:pPr>
            <w:r w:rsidRPr="0050752B">
              <w:t xml:space="preserve">See </w:t>
            </w:r>
            <w:hyperlink w:anchor="_Note_1" w:history="1">
              <w:r w:rsidRPr="0050752B">
                <w:rPr>
                  <w:rStyle w:val="Hyperlink"/>
                </w:rPr>
                <w:t>Note 1</w:t>
              </w:r>
            </w:hyperlink>
          </w:p>
        </w:tc>
        <w:tc>
          <w:tcPr>
            <w:tcW w:w="1843" w:type="dxa"/>
            <w:shd w:val="clear" w:color="auto" w:fill="auto"/>
          </w:tcPr>
          <w:p w14:paraId="478DF303" w14:textId="33DA1EB4" w:rsidR="008541A7" w:rsidRPr="0050752B" w:rsidRDefault="008541A7" w:rsidP="008541A7">
            <w:pPr>
              <w:spacing w:before="0"/>
            </w:pPr>
            <w:r w:rsidRPr="0050752B">
              <w:t>86(</w:t>
            </w:r>
            <w:r w:rsidR="00FB794E" w:rsidRPr="0050752B">
              <w:t>5</w:t>
            </w:r>
            <w:r w:rsidRPr="0050752B">
              <w:t>) of the 2008 Administration Regulations</w:t>
            </w:r>
          </w:p>
          <w:p w14:paraId="14F8737A" w14:textId="06EAB7D7" w:rsidR="008541A7" w:rsidRPr="0050752B" w:rsidRDefault="00971322" w:rsidP="00733765">
            <w:pPr>
              <w:spacing w:before="0" w:after="0"/>
            </w:pPr>
            <w:r w:rsidRPr="0050752B">
              <w:t>Section 29(7) of</w:t>
            </w:r>
            <w:r w:rsidR="008541A7" w:rsidRPr="0050752B">
              <w:t xml:space="preserve"> the Welfare Reform and Pensions Act 1999</w:t>
            </w:r>
          </w:p>
        </w:tc>
      </w:tr>
      <w:tr w:rsidR="000F6E4C" w14:paraId="7C9A2759" w14:textId="77777777" w:rsidTr="0050752B">
        <w:trPr>
          <w:cantSplit/>
        </w:trPr>
        <w:tc>
          <w:tcPr>
            <w:tcW w:w="704" w:type="dxa"/>
            <w:shd w:val="clear" w:color="auto" w:fill="auto"/>
          </w:tcPr>
          <w:p w14:paraId="5A7CC9CE" w14:textId="169E154C" w:rsidR="000F6E4C" w:rsidRPr="0050752B" w:rsidRDefault="000F6E4C" w:rsidP="00D56EA7">
            <w:pPr>
              <w:spacing w:before="0"/>
            </w:pPr>
            <w:r w:rsidRPr="0050752B">
              <w:t>35</w:t>
            </w:r>
          </w:p>
        </w:tc>
        <w:tc>
          <w:tcPr>
            <w:tcW w:w="2126" w:type="dxa"/>
            <w:shd w:val="clear" w:color="auto" w:fill="auto"/>
          </w:tcPr>
          <w:p w14:paraId="0056D25C" w14:textId="326444EE" w:rsidR="000F6E4C" w:rsidRPr="0050752B" w:rsidRDefault="000F6E4C" w:rsidP="004A34E8">
            <w:pPr>
              <w:pStyle w:val="Heading3"/>
            </w:pPr>
            <w:bookmarkStart w:id="81" w:name="_Divorce_/_dissolution_2"/>
            <w:bookmarkEnd w:id="81"/>
            <w:r w:rsidRPr="0050752B">
              <w:t>Divorce / dissolution of civil partnership</w:t>
            </w:r>
          </w:p>
        </w:tc>
        <w:tc>
          <w:tcPr>
            <w:tcW w:w="3686" w:type="dxa"/>
            <w:shd w:val="clear" w:color="auto" w:fill="auto"/>
          </w:tcPr>
          <w:p w14:paraId="1DD0C3D4" w14:textId="0714F6C0" w:rsidR="000F6E4C" w:rsidRPr="0050752B" w:rsidRDefault="005E50A2" w:rsidP="00D56EA7">
            <w:pPr>
              <w:spacing w:before="0"/>
            </w:pPr>
            <w:r w:rsidRPr="0050752B">
              <w:t xml:space="preserve">Parties involved in </w:t>
            </w:r>
            <w:r w:rsidR="00164C87" w:rsidRPr="0050752B">
              <w:t>pension sharing</w:t>
            </w:r>
          </w:p>
        </w:tc>
        <w:tc>
          <w:tcPr>
            <w:tcW w:w="4819" w:type="dxa"/>
            <w:shd w:val="clear" w:color="auto" w:fill="auto"/>
          </w:tcPr>
          <w:p w14:paraId="7E700618" w14:textId="0AB1966B" w:rsidR="000F6E4C" w:rsidRPr="0050752B" w:rsidRDefault="0021354A" w:rsidP="00D56EA7">
            <w:pPr>
              <w:spacing w:before="0"/>
            </w:pPr>
            <w:r w:rsidRPr="0050752B">
              <w:t>Decide pension sharing charges</w:t>
            </w:r>
            <w:r w:rsidR="009075F2" w:rsidRPr="0050752B">
              <w:t>.</w:t>
            </w:r>
          </w:p>
          <w:p w14:paraId="6CF55C87" w14:textId="065F2240" w:rsidR="00650AF8" w:rsidRPr="0050752B" w:rsidRDefault="009075F2" w:rsidP="00D56EA7">
            <w:pPr>
              <w:spacing w:before="0"/>
            </w:pPr>
            <w:r w:rsidRPr="0050752B">
              <w:t>The charges must be in accordance with the Pensions on Divorce etc (Charging) Regulations 2000.</w:t>
            </w:r>
          </w:p>
        </w:tc>
        <w:tc>
          <w:tcPr>
            <w:tcW w:w="1701" w:type="dxa"/>
            <w:shd w:val="clear" w:color="auto" w:fill="auto"/>
          </w:tcPr>
          <w:p w14:paraId="1FAD0B63" w14:textId="77777777" w:rsidR="00F54AC0" w:rsidRPr="0050752B" w:rsidRDefault="00F54AC0" w:rsidP="00F54AC0">
            <w:pPr>
              <w:spacing w:before="0"/>
            </w:pPr>
            <w:r w:rsidRPr="0050752B">
              <w:t>No</w:t>
            </w:r>
          </w:p>
          <w:p w14:paraId="1BEB9E55" w14:textId="4C9A9D1F" w:rsidR="000F6E4C" w:rsidRPr="0050752B" w:rsidRDefault="00F54AC0" w:rsidP="00F54AC0">
            <w:pPr>
              <w:spacing w:before="0"/>
            </w:pPr>
            <w:r w:rsidRPr="0050752B">
              <w:t xml:space="preserve">See </w:t>
            </w:r>
            <w:hyperlink w:anchor="_Note_1" w:history="1">
              <w:r w:rsidRPr="0050752B">
                <w:rPr>
                  <w:rStyle w:val="Hyperlink"/>
                </w:rPr>
                <w:t>Note 1</w:t>
              </w:r>
            </w:hyperlink>
          </w:p>
        </w:tc>
        <w:tc>
          <w:tcPr>
            <w:tcW w:w="1843" w:type="dxa"/>
            <w:shd w:val="clear" w:color="auto" w:fill="auto"/>
          </w:tcPr>
          <w:p w14:paraId="254A5322" w14:textId="77777777" w:rsidR="000F6E4C" w:rsidRPr="0050752B" w:rsidRDefault="000F6E4C" w:rsidP="008541A7">
            <w:pPr>
              <w:spacing w:before="0"/>
            </w:pPr>
            <w:r w:rsidRPr="0050752B">
              <w:t>101 of the 2008 Administration Regulations</w:t>
            </w:r>
          </w:p>
          <w:p w14:paraId="3925DCF3" w14:textId="43CC4329" w:rsidR="00164C87" w:rsidRPr="0050752B" w:rsidRDefault="00CF2C19" w:rsidP="00733765">
            <w:pPr>
              <w:spacing w:before="0" w:after="0"/>
            </w:pPr>
            <w:r w:rsidRPr="0050752B">
              <w:t>The Pensions on Divorce etc (Char</w:t>
            </w:r>
            <w:r w:rsidR="00BA18C1" w:rsidRPr="0050752B">
              <w:t>g</w:t>
            </w:r>
            <w:r w:rsidRPr="0050752B">
              <w:t>ing</w:t>
            </w:r>
            <w:r w:rsidR="00BA18C1" w:rsidRPr="0050752B">
              <w:t>)</w:t>
            </w:r>
            <w:r w:rsidRPr="0050752B">
              <w:t xml:space="preserve"> Regulations</w:t>
            </w:r>
            <w:r w:rsidR="00BA18C1" w:rsidRPr="0050752B">
              <w:t xml:space="preserve"> 2000</w:t>
            </w:r>
          </w:p>
        </w:tc>
      </w:tr>
      <w:tr w:rsidR="00D56EA7" w14:paraId="61B67E4F" w14:textId="77777777" w:rsidTr="00AF5D4D">
        <w:trPr>
          <w:cantSplit/>
        </w:trPr>
        <w:tc>
          <w:tcPr>
            <w:tcW w:w="704" w:type="dxa"/>
          </w:tcPr>
          <w:p w14:paraId="3DBC549B" w14:textId="4C1332C9" w:rsidR="00D56EA7" w:rsidRDefault="00D56EA7" w:rsidP="00D56EA7">
            <w:pPr>
              <w:spacing w:before="0"/>
            </w:pPr>
            <w:r>
              <w:lastRenderedPageBreak/>
              <w:t>3</w:t>
            </w:r>
            <w:r w:rsidR="00BC448C">
              <w:t>6</w:t>
            </w:r>
          </w:p>
        </w:tc>
        <w:tc>
          <w:tcPr>
            <w:tcW w:w="2126" w:type="dxa"/>
          </w:tcPr>
          <w:p w14:paraId="0C2E21CC" w14:textId="2198066D" w:rsidR="00D56EA7" w:rsidRPr="00FA324B" w:rsidRDefault="00D56EA7" w:rsidP="004A34E8">
            <w:pPr>
              <w:pStyle w:val="Heading3"/>
            </w:pPr>
            <w:bookmarkStart w:id="82" w:name="_Double_entitlement"/>
            <w:bookmarkEnd w:id="82"/>
            <w:r w:rsidRPr="00FA324B">
              <w:t>Double entitlement</w:t>
            </w:r>
          </w:p>
        </w:tc>
        <w:tc>
          <w:tcPr>
            <w:tcW w:w="3686" w:type="dxa"/>
          </w:tcPr>
          <w:p w14:paraId="06B0F738" w14:textId="5F0AC88E" w:rsidR="00D56EA7" w:rsidRDefault="00D56EA7" w:rsidP="00D56EA7">
            <w:pPr>
              <w:spacing w:before="0"/>
            </w:pPr>
            <w:r>
              <w:t>A member who:</w:t>
            </w:r>
          </w:p>
          <w:p w14:paraId="461636BC" w14:textId="39099EEF" w:rsidR="00D56EA7" w:rsidRDefault="00D56EA7" w:rsidP="00D56EA7">
            <w:pPr>
              <w:pStyle w:val="ListBullet"/>
            </w:pPr>
            <w:r>
              <w:t>left after 31 March 2009,</w:t>
            </w:r>
          </w:p>
          <w:p w14:paraId="10EA7F42" w14:textId="60A69DDC" w:rsidR="00D56EA7" w:rsidRDefault="00D56EA7" w:rsidP="00D56EA7">
            <w:pPr>
              <w:pStyle w:val="ListBullet"/>
            </w:pPr>
            <w:r>
              <w:t>is entitled to a pension or lump sum under two or more regulations due to the same membership, and</w:t>
            </w:r>
          </w:p>
          <w:p w14:paraId="60D33432" w14:textId="7A11940E" w:rsidR="00D56EA7" w:rsidRDefault="00D56EA7" w:rsidP="00D56EA7">
            <w:pPr>
              <w:pStyle w:val="ListBullet"/>
            </w:pPr>
            <w:r>
              <w:t>has not chosen under which regulation the benefits are to be paid before the expiry of three months from the date they are entitled to elect.</w:t>
            </w:r>
          </w:p>
        </w:tc>
        <w:tc>
          <w:tcPr>
            <w:tcW w:w="4819" w:type="dxa"/>
          </w:tcPr>
          <w:p w14:paraId="21865EFF" w14:textId="6ABFF89C" w:rsidR="00D56EA7" w:rsidRDefault="00D56EA7" w:rsidP="00D56EA7">
            <w:pPr>
              <w:spacing w:before="0"/>
            </w:pPr>
            <w:r>
              <w:t>Decide, on the member’s behalf, under which regulation to pay the benefits.</w:t>
            </w:r>
          </w:p>
        </w:tc>
        <w:tc>
          <w:tcPr>
            <w:tcW w:w="1701" w:type="dxa"/>
          </w:tcPr>
          <w:p w14:paraId="478964C3" w14:textId="77777777" w:rsidR="00D56EA7" w:rsidRDefault="00D56EA7" w:rsidP="00D56EA7">
            <w:pPr>
              <w:spacing w:before="0"/>
            </w:pPr>
            <w:r>
              <w:t>No</w:t>
            </w:r>
          </w:p>
          <w:p w14:paraId="3AF727A4" w14:textId="4247620D"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607D3CF8" w14:textId="68157B8B" w:rsidR="00D56EA7" w:rsidRDefault="00D56EA7" w:rsidP="00D56EA7">
            <w:pPr>
              <w:spacing w:before="0"/>
              <w:rPr>
                <w:rStyle w:val="Hyperlink"/>
              </w:rPr>
            </w:pPr>
            <w:r>
              <w:t>47(1)(c) of the 2018 Regulations</w:t>
            </w:r>
          </w:p>
          <w:p w14:paraId="36B89199" w14:textId="2085DF8C" w:rsidR="00D56EA7" w:rsidRDefault="00D56EA7" w:rsidP="00D56EA7">
            <w:pPr>
              <w:spacing w:before="0"/>
            </w:pPr>
            <w:r>
              <w:t>43(1)(c) of the 2008 Benefit Regulations</w:t>
            </w:r>
          </w:p>
        </w:tc>
      </w:tr>
      <w:tr w:rsidR="00D56EA7" w14:paraId="28ECE4F7" w14:textId="77777777" w:rsidTr="00AF5D4D">
        <w:trPr>
          <w:cantSplit/>
        </w:trPr>
        <w:tc>
          <w:tcPr>
            <w:tcW w:w="704" w:type="dxa"/>
          </w:tcPr>
          <w:p w14:paraId="54266F2F" w14:textId="11C0EAA3" w:rsidR="00D56EA7" w:rsidRDefault="00D56EA7" w:rsidP="00D56EA7">
            <w:pPr>
              <w:spacing w:before="0"/>
            </w:pPr>
            <w:r>
              <w:lastRenderedPageBreak/>
              <w:t>3</w:t>
            </w:r>
            <w:r w:rsidR="00BC448C">
              <w:t>7</w:t>
            </w:r>
          </w:p>
        </w:tc>
        <w:tc>
          <w:tcPr>
            <w:tcW w:w="2126" w:type="dxa"/>
          </w:tcPr>
          <w:p w14:paraId="7937D082" w14:textId="3FE08E21" w:rsidR="00D56EA7" w:rsidRPr="000E4E07" w:rsidRDefault="00D56EA7" w:rsidP="004A34E8">
            <w:pPr>
              <w:pStyle w:val="Heading3"/>
            </w:pPr>
            <w:bookmarkStart w:id="83" w:name="_Employee_contributions"/>
            <w:bookmarkEnd w:id="83"/>
            <w:r w:rsidRPr="000E4E07">
              <w:t>Employee contributions</w:t>
            </w:r>
          </w:p>
        </w:tc>
        <w:tc>
          <w:tcPr>
            <w:tcW w:w="3686" w:type="dxa"/>
          </w:tcPr>
          <w:p w14:paraId="6D46FC84" w14:textId="4A7B9152" w:rsidR="00D56EA7" w:rsidRDefault="00D56EA7" w:rsidP="00D56EA7">
            <w:pPr>
              <w:spacing w:before="0"/>
            </w:pPr>
            <w:r>
              <w:t>A person regarding whom any contributions or sum remain due that the employer has not deducted from their pay.</w:t>
            </w:r>
          </w:p>
        </w:tc>
        <w:tc>
          <w:tcPr>
            <w:tcW w:w="4819" w:type="dxa"/>
          </w:tcPr>
          <w:p w14:paraId="4E670BFC" w14:textId="55EB39C1" w:rsidR="00D56EA7" w:rsidRDefault="00D56EA7" w:rsidP="00D56EA7">
            <w:pPr>
              <w:spacing w:before="0"/>
            </w:pPr>
            <w:r>
              <w:t>Decide whether to recover the contributions / sum:</w:t>
            </w:r>
          </w:p>
          <w:p w14:paraId="772E56BD" w14:textId="40D83577" w:rsidR="00D56EA7" w:rsidRDefault="00D56EA7" w:rsidP="00D56EA7">
            <w:pPr>
              <w:pStyle w:val="ListBullet"/>
            </w:pPr>
            <w:r>
              <w:t>as a debt arising under a contract in any court of competent jurisdiction, or</w:t>
            </w:r>
          </w:p>
          <w:p w14:paraId="5752465E" w14:textId="523952DE" w:rsidR="00D56EA7" w:rsidRDefault="00D56EA7" w:rsidP="00D56EA7">
            <w:pPr>
              <w:pStyle w:val="ListBullet"/>
            </w:pPr>
            <w:r>
              <w:t>by deducting it from benefits payable to or in respect of the person.</w:t>
            </w:r>
          </w:p>
        </w:tc>
        <w:tc>
          <w:tcPr>
            <w:tcW w:w="1701" w:type="dxa"/>
          </w:tcPr>
          <w:p w14:paraId="4AB3A95A" w14:textId="77777777" w:rsidR="00D56EA7" w:rsidRDefault="00D56EA7" w:rsidP="00D56EA7">
            <w:pPr>
              <w:spacing w:before="0"/>
            </w:pPr>
            <w:r>
              <w:t>No</w:t>
            </w:r>
          </w:p>
          <w:p w14:paraId="0A626C14" w14:textId="0D8537A0"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1E4E0A0B" w14:textId="552ED75B" w:rsidR="00D56EA7" w:rsidRDefault="00D56EA7" w:rsidP="00D56EA7">
            <w:pPr>
              <w:spacing w:before="0"/>
              <w:rPr>
                <w:rStyle w:val="Hyperlink"/>
              </w:rPr>
            </w:pPr>
            <w:r>
              <w:t>80(3) of the 2018 Regulations</w:t>
            </w:r>
          </w:p>
          <w:p w14:paraId="20291316" w14:textId="11F723E0" w:rsidR="00D56EA7" w:rsidRDefault="00D56EA7" w:rsidP="00D56EA7">
            <w:pPr>
              <w:spacing w:before="0"/>
              <w:rPr>
                <w:rStyle w:val="Hyperlink"/>
                <w:color w:val="auto"/>
                <w:u w:val="none"/>
              </w:rPr>
            </w:pPr>
            <w:r w:rsidRPr="004352B8">
              <w:rPr>
                <w:rStyle w:val="Hyperlink"/>
                <w:color w:val="auto"/>
                <w:u w:val="none"/>
              </w:rPr>
              <w:t xml:space="preserve">40(3) of </w:t>
            </w:r>
            <w:r>
              <w:t>the 2008 Administration Regulations</w:t>
            </w:r>
          </w:p>
          <w:p w14:paraId="1E9535DC" w14:textId="0D21C628" w:rsidR="00D56EA7" w:rsidRPr="00B411E8" w:rsidRDefault="00D56EA7" w:rsidP="00D56EA7">
            <w:pPr>
              <w:spacing w:before="0"/>
              <w:rPr>
                <w:rStyle w:val="Hyperlink"/>
                <w:color w:val="auto"/>
                <w:u w:val="none"/>
              </w:rPr>
            </w:pPr>
            <w:r w:rsidRPr="000359A2">
              <w:rPr>
                <w:rStyle w:val="Hyperlink"/>
                <w:color w:val="auto"/>
                <w:u w:val="none"/>
              </w:rPr>
              <w:t xml:space="preserve">88(3) of </w:t>
            </w:r>
            <w:r>
              <w:t>the 1998 Regulations</w:t>
            </w:r>
          </w:p>
          <w:p w14:paraId="7CD8EC44" w14:textId="0D66CA43" w:rsidR="00D56EA7" w:rsidRPr="000359A2" w:rsidRDefault="00D56EA7" w:rsidP="00D56EA7">
            <w:pPr>
              <w:spacing w:before="0" w:after="0"/>
            </w:pPr>
            <w:r w:rsidRPr="000359A2">
              <w:rPr>
                <w:rStyle w:val="Hyperlink"/>
                <w:color w:val="auto"/>
                <w:u w:val="none"/>
              </w:rPr>
              <w:t xml:space="preserve">4(1)(b) of </w:t>
            </w:r>
            <w:r>
              <w:t>the 1998 Transitional Regulations</w:t>
            </w:r>
          </w:p>
        </w:tc>
      </w:tr>
      <w:tr w:rsidR="00D56EA7" w14:paraId="1544AC01" w14:textId="77777777" w:rsidTr="00AF5D4D">
        <w:trPr>
          <w:cantSplit/>
        </w:trPr>
        <w:tc>
          <w:tcPr>
            <w:tcW w:w="704" w:type="dxa"/>
          </w:tcPr>
          <w:p w14:paraId="0CC9FAA8" w14:textId="6F164107" w:rsidR="00D56EA7" w:rsidRPr="00F669F4" w:rsidRDefault="00D56EA7" w:rsidP="00D56EA7">
            <w:pPr>
              <w:spacing w:before="0"/>
            </w:pPr>
            <w:r>
              <w:lastRenderedPageBreak/>
              <w:t>3</w:t>
            </w:r>
            <w:r w:rsidR="00BC448C">
              <w:t>8</w:t>
            </w:r>
          </w:p>
        </w:tc>
        <w:tc>
          <w:tcPr>
            <w:tcW w:w="2126" w:type="dxa"/>
          </w:tcPr>
          <w:p w14:paraId="4B7202E5" w14:textId="35F4D632" w:rsidR="00D56EA7" w:rsidRPr="00594973" w:rsidRDefault="00D56EA7" w:rsidP="004A34E8">
            <w:pPr>
              <w:pStyle w:val="Heading3"/>
            </w:pPr>
            <w:bookmarkStart w:id="84" w:name="_Employer_contributions"/>
            <w:bookmarkEnd w:id="84"/>
            <w:r w:rsidRPr="00594973">
              <w:t>Employer contributions</w:t>
            </w:r>
          </w:p>
        </w:tc>
        <w:tc>
          <w:tcPr>
            <w:tcW w:w="3686" w:type="dxa"/>
          </w:tcPr>
          <w:p w14:paraId="146F7B7F" w14:textId="65F74810" w:rsidR="00D56EA7" w:rsidRPr="00F669F4" w:rsidRDefault="00D56EA7" w:rsidP="00D56EA7">
            <w:pPr>
              <w:spacing w:before="0"/>
            </w:pPr>
            <w:r w:rsidRPr="00F669F4">
              <w:t xml:space="preserve">The employer </w:t>
            </w:r>
            <w:r>
              <w:t>regarding</w:t>
            </w:r>
            <w:r w:rsidRPr="00F669F4">
              <w:t xml:space="preserve"> a member who left active membership after 31 March 2015 and</w:t>
            </w:r>
            <w:r>
              <w:t xml:space="preserve"> who</w:t>
            </w:r>
            <w:r w:rsidRPr="00F669F4">
              <w:t>:</w:t>
            </w:r>
          </w:p>
          <w:p w14:paraId="43B62089" w14:textId="39C1B820" w:rsidR="00D56EA7" w:rsidRPr="00F669F4" w:rsidRDefault="00D56EA7" w:rsidP="00D56EA7">
            <w:pPr>
              <w:pStyle w:val="ListBullet"/>
            </w:pPr>
            <w:r>
              <w:t xml:space="preserve">elects to </w:t>
            </w:r>
            <w:r w:rsidRPr="00F669F4">
              <w:t xml:space="preserve">receive </w:t>
            </w:r>
            <w:r>
              <w:t>payment</w:t>
            </w:r>
            <w:r w:rsidRPr="00F669F4">
              <w:t xml:space="preserve"> between 55 and normal pension age,</w:t>
            </w:r>
          </w:p>
          <w:p w14:paraId="125B38A0" w14:textId="0AC95E4D" w:rsidR="00D56EA7" w:rsidRPr="00F669F4" w:rsidRDefault="00D56EA7" w:rsidP="00D56EA7">
            <w:pPr>
              <w:pStyle w:val="ListBullet"/>
            </w:pPr>
            <w:r w:rsidRPr="00F669F4">
              <w:t>receive</w:t>
            </w:r>
            <w:r>
              <w:t>s</w:t>
            </w:r>
            <w:r w:rsidRPr="00F669F4">
              <w:t xml:space="preserve"> benefits on redundancy/efficiency, or</w:t>
            </w:r>
          </w:p>
          <w:p w14:paraId="6FE5F19E" w14:textId="4F52F1C5" w:rsidR="00D56EA7" w:rsidRPr="00F669F4" w:rsidRDefault="00D56EA7" w:rsidP="00D56EA7">
            <w:pPr>
              <w:pStyle w:val="ListBullet"/>
            </w:pPr>
            <w:r w:rsidRPr="00F669F4">
              <w:t>receive</w:t>
            </w:r>
            <w:r>
              <w:t>s</w:t>
            </w:r>
            <w:r w:rsidRPr="00F669F4">
              <w:t xml:space="preserve"> benefits on flexible retirement</w:t>
            </w:r>
            <w:r>
              <w:t>.</w:t>
            </w:r>
          </w:p>
        </w:tc>
        <w:tc>
          <w:tcPr>
            <w:tcW w:w="4819" w:type="dxa"/>
          </w:tcPr>
          <w:p w14:paraId="31A7396E" w14:textId="59159E68" w:rsidR="00D56EA7" w:rsidRPr="00F669F4" w:rsidRDefault="00D56EA7" w:rsidP="00D56EA7">
            <w:pPr>
              <w:spacing w:before="0"/>
            </w:pPr>
            <w:r w:rsidRPr="00F669F4">
              <w:t>Decide whether to require the employer to make additional payments</w:t>
            </w:r>
            <w:r>
              <w:t xml:space="preserve"> for</w:t>
            </w:r>
            <w:r w:rsidRPr="00F669F4">
              <w:t xml:space="preserve"> any extra charge on the fund because of the retirement</w:t>
            </w:r>
            <w:r w:rsidR="00353998">
              <w:t xml:space="preserve"> (“pension strain payments”)</w:t>
            </w:r>
            <w:r>
              <w:t>.</w:t>
            </w:r>
          </w:p>
          <w:p w14:paraId="63731FD9" w14:textId="5D84C9CA" w:rsidR="00D56EA7" w:rsidRPr="00F669F4" w:rsidRDefault="00D56EA7" w:rsidP="00D56EA7">
            <w:pPr>
              <w:spacing w:before="0" w:after="0"/>
            </w:pPr>
            <w:r w:rsidRPr="00F669F4">
              <w:t xml:space="preserve">This </w:t>
            </w:r>
            <w:r>
              <w:t>i</w:t>
            </w:r>
            <w:r w:rsidRPr="00F669F4">
              <w:t>ncludes the cost</w:t>
            </w:r>
            <w:r>
              <w:t xml:space="preserve"> as </w:t>
            </w:r>
            <w:r w:rsidRPr="00F669F4">
              <w:t xml:space="preserve">calculated by an actuary </w:t>
            </w:r>
            <w:r>
              <w:t>you</w:t>
            </w:r>
            <w:r w:rsidRPr="00F669F4">
              <w:t xml:space="preserve"> appointed where</w:t>
            </w:r>
            <w:r>
              <w:t xml:space="preserve"> </w:t>
            </w:r>
            <w:r w:rsidRPr="00F669F4">
              <w:t xml:space="preserve">the employer decides to waive any </w:t>
            </w:r>
            <w:r>
              <w:t xml:space="preserve">early payment </w:t>
            </w:r>
            <w:r w:rsidRPr="00F669F4">
              <w:t>reductions</w:t>
            </w:r>
            <w:r>
              <w:t>. This includes where the employer requires you to use the actual date the member satisfied the rule of 85 (see discretion 67 in the Employer Discretions Technical Guide).</w:t>
            </w:r>
          </w:p>
        </w:tc>
        <w:tc>
          <w:tcPr>
            <w:tcW w:w="1701" w:type="dxa"/>
          </w:tcPr>
          <w:p w14:paraId="785F541C" w14:textId="77777777" w:rsidR="00D56EA7" w:rsidRDefault="00D56EA7" w:rsidP="00D56EA7">
            <w:pPr>
              <w:spacing w:before="0"/>
            </w:pPr>
            <w:r>
              <w:t>No</w:t>
            </w:r>
          </w:p>
          <w:p w14:paraId="5299C5EF" w14:textId="7750F8A2" w:rsidR="00D56EA7" w:rsidRPr="00F669F4"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67790E50" w14:textId="36E5F7E2" w:rsidR="00D56EA7" w:rsidRPr="00F669F4" w:rsidRDefault="00D56EA7" w:rsidP="00D56EA7">
            <w:pPr>
              <w:spacing w:before="0"/>
              <w:rPr>
                <w:rStyle w:val="Hyperlink"/>
              </w:rPr>
            </w:pPr>
            <w:r w:rsidRPr="00F669F4">
              <w:t>63(2) of the 2018 Regulations</w:t>
            </w:r>
          </w:p>
          <w:p w14:paraId="704B568F" w14:textId="55BA1C80" w:rsidR="00D56EA7" w:rsidRPr="00F669F4" w:rsidRDefault="00D56EA7" w:rsidP="00D56EA7">
            <w:pPr>
              <w:spacing w:before="0"/>
            </w:pPr>
            <w:r>
              <w:rPr>
                <w:rStyle w:val="Hyperlink"/>
                <w:color w:val="auto"/>
                <w:u w:val="none"/>
              </w:rPr>
              <w:t>P</w:t>
            </w:r>
            <w:r w:rsidRPr="00F669F4">
              <w:rPr>
                <w:rStyle w:val="Hyperlink"/>
                <w:color w:val="auto"/>
                <w:u w:val="none"/>
              </w:rPr>
              <w:t xml:space="preserve">aragraph 2(3) of schedule 2 to </w:t>
            </w:r>
            <w:r w:rsidRPr="00F669F4">
              <w:t>the 2014 Transitional Regulations</w:t>
            </w:r>
          </w:p>
        </w:tc>
      </w:tr>
      <w:tr w:rsidR="00D56EA7" w14:paraId="2DE15F44" w14:textId="77777777" w:rsidTr="00AF5D4D">
        <w:trPr>
          <w:cantSplit/>
        </w:trPr>
        <w:tc>
          <w:tcPr>
            <w:tcW w:w="704" w:type="dxa"/>
          </w:tcPr>
          <w:p w14:paraId="45779AD5" w14:textId="2A063B9F" w:rsidR="00D56EA7" w:rsidRDefault="00D56EA7" w:rsidP="00D56EA7">
            <w:pPr>
              <w:spacing w:before="0"/>
            </w:pPr>
            <w:r>
              <w:lastRenderedPageBreak/>
              <w:t>3</w:t>
            </w:r>
            <w:r w:rsidR="00BC448C">
              <w:t>9</w:t>
            </w:r>
          </w:p>
        </w:tc>
        <w:tc>
          <w:tcPr>
            <w:tcW w:w="2126" w:type="dxa"/>
          </w:tcPr>
          <w:p w14:paraId="0C76BB02" w14:textId="7255179B" w:rsidR="00D56EA7" w:rsidRPr="00DE3BD0" w:rsidRDefault="00D56EA7" w:rsidP="004A34E8">
            <w:pPr>
              <w:pStyle w:val="Heading3"/>
            </w:pPr>
            <w:bookmarkStart w:id="85" w:name="_Employer_contributions_1"/>
            <w:bookmarkStart w:id="86" w:name="_Toc177712007"/>
            <w:bookmarkEnd w:id="85"/>
            <w:r w:rsidRPr="00DE3BD0">
              <w:t>Employer contributions</w:t>
            </w:r>
            <w:bookmarkEnd w:id="86"/>
          </w:p>
        </w:tc>
        <w:tc>
          <w:tcPr>
            <w:tcW w:w="3686" w:type="dxa"/>
          </w:tcPr>
          <w:p w14:paraId="281D6736" w14:textId="22EB5BF1" w:rsidR="00D56EA7" w:rsidRDefault="00D56EA7" w:rsidP="00D56EA7">
            <w:pPr>
              <w:spacing w:before="0"/>
            </w:pPr>
            <w:r>
              <w:t>The employer regarding a member:</w:t>
            </w:r>
          </w:p>
          <w:p w14:paraId="0F6F4687" w14:textId="7A1C6F56" w:rsidR="00D56EA7" w:rsidRDefault="00D56EA7" w:rsidP="00D56EA7">
            <w:pPr>
              <w:pStyle w:val="ListBullet"/>
            </w:pPr>
            <w:r>
              <w:t>who left active membership before 1 April 2015 with deferred benefits,</w:t>
            </w:r>
          </w:p>
          <w:p w14:paraId="171CD8DB" w14:textId="48558B1C" w:rsidR="00D56EA7" w:rsidRDefault="00D56EA7" w:rsidP="00D56EA7">
            <w:pPr>
              <w:pStyle w:val="ListBullet"/>
            </w:pPr>
            <w:r>
              <w:t>who elects to receive payment before 60, and</w:t>
            </w:r>
          </w:p>
          <w:p w14:paraId="41F0E922" w14:textId="7AD6153E" w:rsidR="00D56EA7" w:rsidRDefault="00D56EA7" w:rsidP="00D56EA7">
            <w:pPr>
              <w:pStyle w:val="ListBullet"/>
            </w:pPr>
            <w:r>
              <w:t xml:space="preserve">where the election is treated as an election under the earlier regulations (ie it is not treated as an election under 3(13) of the 2014 </w:t>
            </w:r>
            <w:r w:rsidRPr="00A677B1">
              <w:t xml:space="preserve">Transitional Regulations </w:t>
            </w:r>
            <w:r w:rsidR="009136A0" w:rsidRPr="00A677B1">
              <w:t>–</w:t>
            </w:r>
            <w:r w:rsidRPr="00A677B1">
              <w:t>see discretions 59, 60 and 62 in the Employer Discretions Technical Guide).</w:t>
            </w:r>
          </w:p>
        </w:tc>
        <w:tc>
          <w:tcPr>
            <w:tcW w:w="4819" w:type="dxa"/>
          </w:tcPr>
          <w:p w14:paraId="3150DCB3" w14:textId="5C5BBE63" w:rsidR="00D56EA7" w:rsidRDefault="00D56EA7" w:rsidP="00D56EA7">
            <w:pPr>
              <w:spacing w:before="0"/>
            </w:pPr>
            <w:r>
              <w:t>Decide whether to require the employer to make additional payments for</w:t>
            </w:r>
            <w:r w:rsidRPr="00F669F4">
              <w:t xml:space="preserve"> any extra charge on the fund </w:t>
            </w:r>
            <w:r>
              <w:t>because of</w:t>
            </w:r>
            <w:r w:rsidRPr="00F669F4">
              <w:t xml:space="preserve"> </w:t>
            </w:r>
            <w:r>
              <w:t>the early payment</w:t>
            </w:r>
            <w:r w:rsidR="002562BB">
              <w:t xml:space="preserve"> (“pension strain payments”)</w:t>
            </w:r>
            <w:r>
              <w:t>.</w:t>
            </w:r>
          </w:p>
          <w:p w14:paraId="522C9A09" w14:textId="0F428BAE" w:rsidR="00D56EA7" w:rsidRDefault="00D56EA7" w:rsidP="00D56EA7">
            <w:pPr>
              <w:spacing w:before="0"/>
            </w:pPr>
            <w:r w:rsidRPr="00F669F4">
              <w:t xml:space="preserve">This </w:t>
            </w:r>
            <w:r>
              <w:t>i</w:t>
            </w:r>
            <w:r w:rsidRPr="00F669F4">
              <w:t xml:space="preserve">ncludes the cost as calculated by an actuary </w:t>
            </w:r>
            <w:r>
              <w:t>you</w:t>
            </w:r>
            <w:r w:rsidRPr="00F669F4">
              <w:t xml:space="preserve"> appointed where</w:t>
            </w:r>
            <w:r>
              <w:t xml:space="preserve"> </w:t>
            </w:r>
            <w:r w:rsidRPr="00F669F4">
              <w:t>the employer decides to waive any reductions for early payment</w:t>
            </w:r>
            <w:r>
              <w:t>.</w:t>
            </w:r>
          </w:p>
        </w:tc>
        <w:tc>
          <w:tcPr>
            <w:tcW w:w="1701" w:type="dxa"/>
          </w:tcPr>
          <w:p w14:paraId="280A5138" w14:textId="77777777" w:rsidR="00D56EA7" w:rsidRDefault="00D56EA7" w:rsidP="00D56EA7">
            <w:pPr>
              <w:spacing w:before="0"/>
            </w:pPr>
            <w:r>
              <w:t>No</w:t>
            </w:r>
          </w:p>
          <w:p w14:paraId="141E3F90" w14:textId="3F9A931B"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5E95E3D0" w14:textId="719D89F1" w:rsidR="00D56EA7" w:rsidRDefault="00D56EA7" w:rsidP="00D56EA7">
            <w:pPr>
              <w:spacing w:before="0"/>
            </w:pPr>
            <w:r>
              <w:t>Paragraph 2(3) of schedule 2 to the 2014 Transitional Regulations</w:t>
            </w:r>
          </w:p>
          <w:p w14:paraId="5F97D3C4" w14:textId="37518804" w:rsidR="00D56EA7" w:rsidRDefault="00D56EA7" w:rsidP="00D56EA7">
            <w:pPr>
              <w:spacing w:before="0"/>
            </w:pPr>
            <w:r>
              <w:t>37(2) of the 2008 Administration Regulations</w:t>
            </w:r>
          </w:p>
          <w:p w14:paraId="127C6BD7" w14:textId="77777777" w:rsidR="00D56EA7" w:rsidRDefault="00D56EA7" w:rsidP="00D56EA7">
            <w:pPr>
              <w:spacing w:before="0"/>
            </w:pPr>
            <w:r>
              <w:t>79(5) of the 1998 Regulations</w:t>
            </w:r>
          </w:p>
          <w:p w14:paraId="67792731" w14:textId="6527FCF2" w:rsidR="00D56EA7" w:rsidRDefault="00D56EA7" w:rsidP="00D56EA7">
            <w:pPr>
              <w:spacing w:before="0" w:after="0"/>
            </w:pPr>
            <w:r>
              <w:t>4(1)(b) of the 1998 Transitional Regulations</w:t>
            </w:r>
          </w:p>
        </w:tc>
      </w:tr>
      <w:tr w:rsidR="00D56EA7" w14:paraId="050D388D" w14:textId="77777777" w:rsidTr="00AF5D4D">
        <w:trPr>
          <w:cantSplit/>
        </w:trPr>
        <w:tc>
          <w:tcPr>
            <w:tcW w:w="704" w:type="dxa"/>
          </w:tcPr>
          <w:p w14:paraId="0B316F41" w14:textId="6D5B21D9" w:rsidR="00D56EA7" w:rsidRDefault="00BC448C" w:rsidP="00D56EA7">
            <w:pPr>
              <w:spacing w:before="0"/>
            </w:pPr>
            <w:r>
              <w:lastRenderedPageBreak/>
              <w:t>40</w:t>
            </w:r>
          </w:p>
        </w:tc>
        <w:tc>
          <w:tcPr>
            <w:tcW w:w="2126" w:type="dxa"/>
          </w:tcPr>
          <w:p w14:paraId="0A56753D" w14:textId="44019156" w:rsidR="00D56EA7" w:rsidRPr="007B5966" w:rsidRDefault="00D56EA7" w:rsidP="004A34E8">
            <w:pPr>
              <w:pStyle w:val="Heading3"/>
            </w:pPr>
            <w:bookmarkStart w:id="87" w:name="_Employer_contributions_2"/>
            <w:bookmarkStart w:id="88" w:name="_Toc177712008"/>
            <w:bookmarkEnd w:id="87"/>
            <w:r w:rsidRPr="007B5966">
              <w:t>Employer contributions</w:t>
            </w:r>
            <w:bookmarkEnd w:id="88"/>
          </w:p>
        </w:tc>
        <w:tc>
          <w:tcPr>
            <w:tcW w:w="3686" w:type="dxa"/>
          </w:tcPr>
          <w:p w14:paraId="31DC56C4" w14:textId="3F600132" w:rsidR="00D56EA7" w:rsidRDefault="00D56EA7" w:rsidP="00D56EA7">
            <w:pPr>
              <w:spacing w:before="0"/>
            </w:pPr>
            <w:r>
              <w:t>An employer</w:t>
            </w:r>
          </w:p>
        </w:tc>
        <w:tc>
          <w:tcPr>
            <w:tcW w:w="4819" w:type="dxa"/>
          </w:tcPr>
          <w:p w14:paraId="7DF77AAA" w14:textId="59BE994E" w:rsidR="00D56EA7" w:rsidRDefault="00D56EA7" w:rsidP="00D56EA7">
            <w:pPr>
              <w:spacing w:before="0"/>
            </w:pPr>
            <w:r>
              <w:t>Decide whether to review the employer’s contribution rate between valuations.</w:t>
            </w:r>
          </w:p>
          <w:p w14:paraId="71BD7D1D" w14:textId="683992C7" w:rsidR="00D56EA7" w:rsidRDefault="00D56EA7" w:rsidP="00D56EA7">
            <w:pPr>
              <w:spacing w:before="0"/>
            </w:pPr>
            <w:r>
              <w:t>Regulation 61A(1) of the 2018 Regulations outlines the conditions. One condition is that your funding strategy statement must set out your policy in this area.</w:t>
            </w:r>
          </w:p>
          <w:p w14:paraId="6CF95A1E" w14:textId="05175CD5" w:rsidR="00D56EA7" w:rsidRDefault="00D56EA7" w:rsidP="00D56EA7">
            <w:pPr>
              <w:spacing w:before="0" w:after="0"/>
            </w:pPr>
            <w:r>
              <w:t>Before changing the rate, you must consult with the employer and consider the views of an actuary you appointed.</w:t>
            </w:r>
          </w:p>
        </w:tc>
        <w:tc>
          <w:tcPr>
            <w:tcW w:w="1701" w:type="dxa"/>
          </w:tcPr>
          <w:p w14:paraId="0DC137D2" w14:textId="77777777" w:rsidR="00D56EA7" w:rsidRDefault="00D56EA7" w:rsidP="00D56EA7">
            <w:pPr>
              <w:spacing w:before="0"/>
            </w:pPr>
            <w:r>
              <w:t>Yes, if the authority wishes to use this power.</w:t>
            </w:r>
          </w:p>
          <w:p w14:paraId="35032497" w14:textId="2B864660" w:rsidR="00D56EA7" w:rsidRDefault="00D56EA7" w:rsidP="00D56EA7">
            <w:pPr>
              <w:spacing w:before="0"/>
            </w:pPr>
            <w:r>
              <w:t xml:space="preserve">See </w:t>
            </w:r>
            <w:hyperlink w:anchor="_Note_8_–" w:history="1">
              <w:r>
                <w:rPr>
                  <w:rStyle w:val="Hyperlink"/>
                </w:rPr>
                <w:t>Note 5</w:t>
              </w:r>
            </w:hyperlink>
          </w:p>
        </w:tc>
        <w:tc>
          <w:tcPr>
            <w:tcW w:w="1843" w:type="dxa"/>
          </w:tcPr>
          <w:p w14:paraId="549F79B7" w14:textId="4DF385CD" w:rsidR="00D56EA7" w:rsidRDefault="00D56EA7" w:rsidP="00D56EA7">
            <w:pPr>
              <w:spacing w:before="0"/>
            </w:pPr>
            <w:r>
              <w:t>61A of the 2018 Regulations</w:t>
            </w:r>
          </w:p>
        </w:tc>
      </w:tr>
      <w:tr w:rsidR="00D56EA7" w14:paraId="60C27994" w14:textId="77777777" w:rsidTr="00AF5D4D">
        <w:trPr>
          <w:cantSplit/>
        </w:trPr>
        <w:tc>
          <w:tcPr>
            <w:tcW w:w="704" w:type="dxa"/>
          </w:tcPr>
          <w:p w14:paraId="33D4804F" w14:textId="117C00BE" w:rsidR="00D56EA7" w:rsidRDefault="00BC448C" w:rsidP="00D56EA7">
            <w:pPr>
              <w:spacing w:before="0"/>
            </w:pPr>
            <w:r>
              <w:t>41</w:t>
            </w:r>
          </w:p>
        </w:tc>
        <w:tc>
          <w:tcPr>
            <w:tcW w:w="2126" w:type="dxa"/>
          </w:tcPr>
          <w:p w14:paraId="2A48E489" w14:textId="77E55400" w:rsidR="00D56EA7" w:rsidRPr="00033E26" w:rsidRDefault="00D56EA7" w:rsidP="004A34E8">
            <w:pPr>
              <w:pStyle w:val="Heading3"/>
            </w:pPr>
            <w:bookmarkStart w:id="89" w:name="_Employer_contributions_3"/>
            <w:bookmarkStart w:id="90" w:name="_Toc177712009"/>
            <w:bookmarkEnd w:id="89"/>
            <w:r w:rsidRPr="00033E26">
              <w:t>Employer contributions</w:t>
            </w:r>
            <w:bookmarkEnd w:id="90"/>
          </w:p>
        </w:tc>
        <w:tc>
          <w:tcPr>
            <w:tcW w:w="3686" w:type="dxa"/>
          </w:tcPr>
          <w:p w14:paraId="4974354F" w14:textId="05D5E825" w:rsidR="00D56EA7" w:rsidRDefault="00D56EA7" w:rsidP="00D56EA7">
            <w:pPr>
              <w:spacing w:before="0"/>
            </w:pPr>
            <w:r>
              <w:t>All employers</w:t>
            </w:r>
          </w:p>
        </w:tc>
        <w:tc>
          <w:tcPr>
            <w:tcW w:w="4819" w:type="dxa"/>
          </w:tcPr>
          <w:p w14:paraId="0ED0B644" w14:textId="7C2FB1FA" w:rsidR="00D56EA7" w:rsidRDefault="00D56EA7" w:rsidP="00D56EA7">
            <w:pPr>
              <w:spacing w:before="0"/>
            </w:pPr>
            <w:r>
              <w:t>Decide the intervals between dates on or before which employers must pay employer and employee contributions to the fund.</w:t>
            </w:r>
          </w:p>
          <w:p w14:paraId="6D864579" w14:textId="7DCBA133" w:rsidR="00D56EA7" w:rsidRDefault="00D56EA7" w:rsidP="00D56EA7">
            <w:pPr>
              <w:spacing w:before="0"/>
            </w:pPr>
            <w:r>
              <w:t xml:space="preserve">The intervals must </w:t>
            </w:r>
            <w:r w:rsidR="004A6341">
              <w:t xml:space="preserve">not </w:t>
            </w:r>
            <w:r>
              <w:t>exceed 12 months.</w:t>
            </w:r>
          </w:p>
          <w:p w14:paraId="0A2DF3DD" w14:textId="2E30EF88" w:rsidR="00D56EA7" w:rsidRDefault="00D56EA7" w:rsidP="00D56EA7">
            <w:pPr>
              <w:spacing w:before="0" w:after="0"/>
            </w:pPr>
            <w:r>
              <w:t>Employee contributions must be paid within the prescribed period referred to in section 49(8) of the Pensions Act 1995.</w:t>
            </w:r>
          </w:p>
        </w:tc>
        <w:tc>
          <w:tcPr>
            <w:tcW w:w="1701" w:type="dxa"/>
          </w:tcPr>
          <w:p w14:paraId="01A6FDBC" w14:textId="77777777" w:rsidR="00D56EA7" w:rsidRDefault="00D56EA7" w:rsidP="00D56EA7">
            <w:pPr>
              <w:spacing w:before="0"/>
            </w:pPr>
            <w:r>
              <w:t>No</w:t>
            </w:r>
          </w:p>
          <w:p w14:paraId="1FF128CC" w14:textId="68438735"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01B6E6D7" w14:textId="7CE48578" w:rsidR="00D56EA7" w:rsidRDefault="00D56EA7" w:rsidP="00D56EA7">
            <w:pPr>
              <w:spacing w:before="0"/>
            </w:pPr>
            <w:r>
              <w:t>64(1) of the 2018 Regulations</w:t>
            </w:r>
          </w:p>
        </w:tc>
      </w:tr>
      <w:tr w:rsidR="00D56EA7" w14:paraId="6F4DF4E5" w14:textId="77777777" w:rsidTr="00AF5D4D">
        <w:trPr>
          <w:cantSplit/>
        </w:trPr>
        <w:tc>
          <w:tcPr>
            <w:tcW w:w="704" w:type="dxa"/>
          </w:tcPr>
          <w:p w14:paraId="1D2B79E9" w14:textId="5BC81E5E" w:rsidR="00D56EA7" w:rsidRDefault="00D56EA7" w:rsidP="00D56EA7">
            <w:pPr>
              <w:spacing w:before="0"/>
            </w:pPr>
            <w:r>
              <w:lastRenderedPageBreak/>
              <w:t>4</w:t>
            </w:r>
            <w:r w:rsidR="00BC448C">
              <w:t>2</w:t>
            </w:r>
          </w:p>
        </w:tc>
        <w:tc>
          <w:tcPr>
            <w:tcW w:w="2126" w:type="dxa"/>
          </w:tcPr>
          <w:p w14:paraId="7B390A87" w14:textId="0A3E901E" w:rsidR="00D56EA7" w:rsidRPr="006E150B" w:rsidRDefault="00D56EA7" w:rsidP="004A34E8">
            <w:pPr>
              <w:pStyle w:val="Heading3"/>
            </w:pPr>
            <w:bookmarkStart w:id="91" w:name="_Employer_contributions_4"/>
            <w:bookmarkStart w:id="92" w:name="_Toc177712010"/>
            <w:bookmarkEnd w:id="91"/>
            <w:r w:rsidRPr="006E150B">
              <w:t>Employer contributions</w:t>
            </w:r>
            <w:bookmarkEnd w:id="92"/>
          </w:p>
        </w:tc>
        <w:tc>
          <w:tcPr>
            <w:tcW w:w="3686" w:type="dxa"/>
          </w:tcPr>
          <w:p w14:paraId="5655CAA9" w14:textId="46D30B1D" w:rsidR="00D56EA7" w:rsidRDefault="00D56EA7" w:rsidP="00D56EA7">
            <w:pPr>
              <w:spacing w:before="0" w:after="0"/>
            </w:pPr>
            <w:r>
              <w:t>An employer submitting information accompanying contribution payments.</w:t>
            </w:r>
          </w:p>
        </w:tc>
        <w:tc>
          <w:tcPr>
            <w:tcW w:w="4819" w:type="dxa"/>
          </w:tcPr>
          <w:p w14:paraId="344CABB5" w14:textId="211ECB50" w:rsidR="00D56EA7" w:rsidRDefault="00D56EA7" w:rsidP="00D56EA7">
            <w:pPr>
              <w:spacing w:before="0"/>
            </w:pPr>
            <w:r>
              <w:t>Decide the form and intervals by which the employer must give the information.</w:t>
            </w:r>
          </w:p>
        </w:tc>
        <w:tc>
          <w:tcPr>
            <w:tcW w:w="1701" w:type="dxa"/>
          </w:tcPr>
          <w:p w14:paraId="786EC428" w14:textId="77777777" w:rsidR="00D56EA7" w:rsidRDefault="00D56EA7" w:rsidP="00D56EA7">
            <w:pPr>
              <w:spacing w:before="0"/>
            </w:pPr>
            <w:r>
              <w:t>No</w:t>
            </w:r>
          </w:p>
          <w:p w14:paraId="7C641152" w14:textId="74D70885" w:rsidR="00D56EA7" w:rsidRDefault="00D56EA7" w:rsidP="007B6D1B">
            <w:pPr>
              <w:spacing w:before="0" w:after="0"/>
            </w:pPr>
            <w:r w:rsidRPr="00D95EC6">
              <w:t xml:space="preserve">See </w:t>
            </w:r>
            <w:hyperlink w:anchor="_Note_1" w:history="1">
              <w:r w:rsidRPr="00D95EC6">
                <w:rPr>
                  <w:rStyle w:val="Hyperlink"/>
                </w:rPr>
                <w:t>Note 1</w:t>
              </w:r>
            </w:hyperlink>
          </w:p>
        </w:tc>
        <w:tc>
          <w:tcPr>
            <w:tcW w:w="1843" w:type="dxa"/>
          </w:tcPr>
          <w:p w14:paraId="25F97D70" w14:textId="54E79F8C" w:rsidR="00D56EA7" w:rsidRDefault="00D56EA7" w:rsidP="00D56EA7">
            <w:pPr>
              <w:spacing w:before="0" w:after="0"/>
            </w:pPr>
            <w:r>
              <w:t>64(4) of the 2018 Regulations</w:t>
            </w:r>
          </w:p>
        </w:tc>
      </w:tr>
      <w:tr w:rsidR="00D56EA7" w14:paraId="46A988EF" w14:textId="77777777" w:rsidTr="00AF5D4D">
        <w:trPr>
          <w:cantSplit/>
        </w:trPr>
        <w:tc>
          <w:tcPr>
            <w:tcW w:w="704" w:type="dxa"/>
          </w:tcPr>
          <w:p w14:paraId="014F4E61" w14:textId="2869C6A8" w:rsidR="00D56EA7" w:rsidRDefault="00D56EA7" w:rsidP="00D56EA7">
            <w:pPr>
              <w:spacing w:before="0"/>
            </w:pPr>
            <w:r>
              <w:t>4</w:t>
            </w:r>
            <w:r w:rsidR="00BC448C">
              <w:t>3</w:t>
            </w:r>
          </w:p>
        </w:tc>
        <w:tc>
          <w:tcPr>
            <w:tcW w:w="2126" w:type="dxa"/>
          </w:tcPr>
          <w:p w14:paraId="05A8C886" w14:textId="6652608F" w:rsidR="00D56EA7" w:rsidRPr="008B5BFF" w:rsidRDefault="00D56EA7" w:rsidP="004A34E8">
            <w:pPr>
              <w:pStyle w:val="Heading3"/>
            </w:pPr>
            <w:bookmarkStart w:id="93" w:name="_Employer_contributions_5"/>
            <w:bookmarkStart w:id="94" w:name="_Toc177712011"/>
            <w:bookmarkEnd w:id="93"/>
            <w:r w:rsidRPr="008B5BFF">
              <w:t>Employer contributions</w:t>
            </w:r>
            <w:bookmarkEnd w:id="94"/>
          </w:p>
        </w:tc>
        <w:tc>
          <w:tcPr>
            <w:tcW w:w="3686" w:type="dxa"/>
          </w:tcPr>
          <w:p w14:paraId="372162AB" w14:textId="2DD0BDC1" w:rsidR="00D56EA7" w:rsidRDefault="00D56EA7" w:rsidP="00867C45">
            <w:pPr>
              <w:spacing w:before="0" w:after="0"/>
            </w:pPr>
            <w:r>
              <w:t xml:space="preserve">An employer who, in the administering authority’s opinion, has caused the authority to incur additional costs because of their performance levels when carrying out </w:t>
            </w:r>
            <w:r w:rsidR="00AF1B4E">
              <w:t>LGPS</w:t>
            </w:r>
            <w:r>
              <w:t xml:space="preserve"> functions.</w:t>
            </w:r>
          </w:p>
        </w:tc>
        <w:tc>
          <w:tcPr>
            <w:tcW w:w="4819" w:type="dxa"/>
          </w:tcPr>
          <w:p w14:paraId="54B2B22E" w14:textId="3904CB8E" w:rsidR="00D56EA7" w:rsidRDefault="00D56EA7" w:rsidP="00867C45">
            <w:pPr>
              <w:spacing w:before="0"/>
            </w:pPr>
            <w:r>
              <w:t>Decide whether to recover the additional cost</w:t>
            </w:r>
            <w:r w:rsidR="00B071E2">
              <w:t>s</w:t>
            </w:r>
            <w:r>
              <w:t xml:space="preserve"> from the employer.</w:t>
            </w:r>
          </w:p>
          <w:p w14:paraId="16D3177C" w14:textId="629F7462" w:rsidR="00D56EA7" w:rsidRDefault="00D56EA7" w:rsidP="00C36D4D">
            <w:pPr>
              <w:spacing w:before="0" w:after="0"/>
            </w:pPr>
            <w:r>
              <w:t>If you decide to recover the cost, provide the employer written notice. Regulation 65(2) specifies the required content of this notice.</w:t>
            </w:r>
          </w:p>
        </w:tc>
        <w:tc>
          <w:tcPr>
            <w:tcW w:w="1701" w:type="dxa"/>
          </w:tcPr>
          <w:p w14:paraId="3331E12C" w14:textId="77777777" w:rsidR="00D56EA7" w:rsidRDefault="00D56EA7" w:rsidP="00D56EA7">
            <w:pPr>
              <w:spacing w:before="0"/>
            </w:pPr>
            <w:r>
              <w:t>No</w:t>
            </w:r>
          </w:p>
          <w:p w14:paraId="3B38AFF6" w14:textId="0815462D"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56A4910F" w14:textId="480E755A" w:rsidR="00D56EA7" w:rsidRDefault="00D56EA7" w:rsidP="00D56EA7">
            <w:pPr>
              <w:spacing w:before="0"/>
            </w:pPr>
            <w:r>
              <w:t>65 of the 2018 Regulations</w:t>
            </w:r>
          </w:p>
          <w:p w14:paraId="08C347E3" w14:textId="09C1C739" w:rsidR="00D56EA7" w:rsidRDefault="00D56EA7" w:rsidP="00D56EA7">
            <w:pPr>
              <w:spacing w:before="0"/>
            </w:pPr>
            <w:r>
              <w:t>22(2) of the 2014 Transitional Regulations</w:t>
            </w:r>
          </w:p>
        </w:tc>
      </w:tr>
      <w:tr w:rsidR="00D56EA7" w14:paraId="4A30168D" w14:textId="77777777" w:rsidTr="00AF5D4D">
        <w:trPr>
          <w:cantSplit/>
        </w:trPr>
        <w:tc>
          <w:tcPr>
            <w:tcW w:w="704" w:type="dxa"/>
          </w:tcPr>
          <w:p w14:paraId="307F1FDC" w14:textId="2479B619" w:rsidR="00D56EA7" w:rsidRDefault="00D56EA7" w:rsidP="00D56EA7">
            <w:pPr>
              <w:spacing w:before="0"/>
            </w:pPr>
            <w:r>
              <w:t>4</w:t>
            </w:r>
            <w:r w:rsidR="00BC448C">
              <w:t>4</w:t>
            </w:r>
          </w:p>
        </w:tc>
        <w:tc>
          <w:tcPr>
            <w:tcW w:w="2126" w:type="dxa"/>
          </w:tcPr>
          <w:p w14:paraId="43989283" w14:textId="19D23670" w:rsidR="00D56EA7" w:rsidRPr="00FD4FA6" w:rsidRDefault="00D56EA7" w:rsidP="004A34E8">
            <w:pPr>
              <w:pStyle w:val="Heading3"/>
            </w:pPr>
            <w:bookmarkStart w:id="95" w:name="_Employer_contributions_6"/>
            <w:bookmarkStart w:id="96" w:name="_Toc177712012"/>
            <w:bookmarkEnd w:id="95"/>
            <w:r w:rsidRPr="00FD4FA6">
              <w:t>Employer contributions</w:t>
            </w:r>
            <w:bookmarkEnd w:id="96"/>
          </w:p>
        </w:tc>
        <w:tc>
          <w:tcPr>
            <w:tcW w:w="3686" w:type="dxa"/>
          </w:tcPr>
          <w:p w14:paraId="50C6CFE0" w14:textId="749CFF77" w:rsidR="00D56EA7" w:rsidRDefault="00D56EA7" w:rsidP="00D56EA7">
            <w:pPr>
              <w:spacing w:before="0"/>
            </w:pPr>
            <w:r>
              <w:t>An employer who has paid contributions to the fund late.</w:t>
            </w:r>
          </w:p>
          <w:p w14:paraId="4F3992D7" w14:textId="70BD08FB" w:rsidR="00D56EA7" w:rsidRDefault="00D56EA7" w:rsidP="00D56EA7">
            <w:pPr>
              <w:spacing w:before="0" w:after="0"/>
            </w:pPr>
            <w:r>
              <w:t>Regulation 66(2) and (3) of the 2018 Regulations specifies when a payment is considered late.</w:t>
            </w:r>
          </w:p>
        </w:tc>
        <w:tc>
          <w:tcPr>
            <w:tcW w:w="4819" w:type="dxa"/>
          </w:tcPr>
          <w:p w14:paraId="6EC3277B" w14:textId="06CD64E3" w:rsidR="00D56EA7" w:rsidRDefault="00D56EA7" w:rsidP="00D56EA7">
            <w:pPr>
              <w:spacing w:before="0"/>
            </w:pPr>
            <w:r>
              <w:t>Decide whether to require the employer to pay interest on the late payment.</w:t>
            </w:r>
          </w:p>
        </w:tc>
        <w:tc>
          <w:tcPr>
            <w:tcW w:w="1701" w:type="dxa"/>
          </w:tcPr>
          <w:p w14:paraId="4925B87C" w14:textId="77777777" w:rsidR="00D56EA7" w:rsidRDefault="00D56EA7" w:rsidP="00D56EA7">
            <w:pPr>
              <w:spacing w:before="0"/>
            </w:pPr>
            <w:r>
              <w:t>No</w:t>
            </w:r>
          </w:p>
          <w:p w14:paraId="4FCE90AB" w14:textId="6E21D73F"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4290DB0B" w14:textId="69761A51" w:rsidR="00D56EA7" w:rsidRDefault="00D56EA7" w:rsidP="00D56EA7">
            <w:pPr>
              <w:spacing w:before="0"/>
            </w:pPr>
            <w:r>
              <w:t>66(1) of the 2018 Regulations</w:t>
            </w:r>
          </w:p>
        </w:tc>
      </w:tr>
      <w:tr w:rsidR="00665273" w14:paraId="6CF12115" w14:textId="77777777" w:rsidTr="00AF5D4D">
        <w:trPr>
          <w:cantSplit/>
        </w:trPr>
        <w:tc>
          <w:tcPr>
            <w:tcW w:w="704" w:type="dxa"/>
          </w:tcPr>
          <w:p w14:paraId="3BB35833" w14:textId="2C00B816" w:rsidR="00665273" w:rsidRDefault="00665273" w:rsidP="00D56EA7">
            <w:pPr>
              <w:spacing w:before="0"/>
            </w:pPr>
            <w:r>
              <w:t>4</w:t>
            </w:r>
            <w:r w:rsidR="00BC448C">
              <w:t>5</w:t>
            </w:r>
          </w:p>
        </w:tc>
        <w:tc>
          <w:tcPr>
            <w:tcW w:w="2126" w:type="dxa"/>
          </w:tcPr>
          <w:p w14:paraId="6A4B67E7" w14:textId="02ED5008" w:rsidR="00665273" w:rsidRPr="00FD4FA6" w:rsidRDefault="00665273" w:rsidP="004A34E8">
            <w:pPr>
              <w:pStyle w:val="Heading3"/>
            </w:pPr>
            <w:bookmarkStart w:id="97" w:name="_Employer_contributions_7"/>
            <w:bookmarkEnd w:id="97"/>
            <w:r>
              <w:t>Employer contributions</w:t>
            </w:r>
          </w:p>
        </w:tc>
        <w:tc>
          <w:tcPr>
            <w:tcW w:w="3686" w:type="dxa"/>
          </w:tcPr>
          <w:p w14:paraId="69DDFEC7" w14:textId="0801DEDB" w:rsidR="00665273" w:rsidRDefault="00665273" w:rsidP="00D56EA7">
            <w:pPr>
              <w:spacing w:before="0"/>
            </w:pPr>
            <w:r>
              <w:t>An employer required to reimburse the cost of pensions increase to the administering authority</w:t>
            </w:r>
            <w:r w:rsidR="00B071E2">
              <w:t>.</w:t>
            </w:r>
          </w:p>
        </w:tc>
        <w:tc>
          <w:tcPr>
            <w:tcW w:w="4819" w:type="dxa"/>
          </w:tcPr>
          <w:p w14:paraId="0659C4F6" w14:textId="4E2C459F" w:rsidR="00665273" w:rsidRDefault="000C1620" w:rsidP="00D56EA7">
            <w:pPr>
              <w:spacing w:before="0"/>
            </w:pPr>
            <w:r>
              <w:t xml:space="preserve">Decide the </w:t>
            </w:r>
            <w:r w:rsidR="00157FD4">
              <w:t xml:space="preserve">intervals at which the employer must pay the </w:t>
            </w:r>
            <w:r w:rsidR="00EB2308">
              <w:t>costs</w:t>
            </w:r>
            <w:r w:rsidR="00157FD4">
              <w:t>.</w:t>
            </w:r>
          </w:p>
          <w:p w14:paraId="04840DC9" w14:textId="6418629A" w:rsidR="00157FD4" w:rsidRDefault="00EB2308" w:rsidP="00823E2D">
            <w:pPr>
              <w:spacing w:before="0" w:after="0"/>
            </w:pPr>
            <w:r>
              <w:t>The intervals may not be more than 12 months.</w:t>
            </w:r>
          </w:p>
        </w:tc>
        <w:tc>
          <w:tcPr>
            <w:tcW w:w="1701" w:type="dxa"/>
          </w:tcPr>
          <w:p w14:paraId="3543C390" w14:textId="77777777" w:rsidR="000C1620" w:rsidRDefault="000C1620" w:rsidP="000C1620">
            <w:pPr>
              <w:spacing w:before="0"/>
            </w:pPr>
            <w:r>
              <w:t>No</w:t>
            </w:r>
          </w:p>
          <w:p w14:paraId="5911844D" w14:textId="03B22A1B" w:rsidR="00665273" w:rsidRDefault="000C1620" w:rsidP="000C1620">
            <w:pPr>
              <w:spacing w:before="0"/>
            </w:pPr>
            <w:r w:rsidRPr="00D95EC6">
              <w:t xml:space="preserve">See </w:t>
            </w:r>
            <w:hyperlink w:anchor="_Note_1" w:history="1">
              <w:r w:rsidRPr="00D95EC6">
                <w:rPr>
                  <w:rStyle w:val="Hyperlink"/>
                </w:rPr>
                <w:t>Note 1</w:t>
              </w:r>
            </w:hyperlink>
          </w:p>
        </w:tc>
        <w:tc>
          <w:tcPr>
            <w:tcW w:w="1843" w:type="dxa"/>
          </w:tcPr>
          <w:p w14:paraId="100D653A" w14:textId="690D2763" w:rsidR="00665273" w:rsidRDefault="000C1620" w:rsidP="00D56EA7">
            <w:pPr>
              <w:spacing w:before="0"/>
            </w:pPr>
            <w:r>
              <w:t>90(4) of the 1998 Regulations</w:t>
            </w:r>
          </w:p>
        </w:tc>
      </w:tr>
      <w:tr w:rsidR="00D56EA7" w14:paraId="3D37D681" w14:textId="77777777" w:rsidTr="00AF5D4D">
        <w:trPr>
          <w:cantSplit/>
        </w:trPr>
        <w:tc>
          <w:tcPr>
            <w:tcW w:w="704" w:type="dxa"/>
          </w:tcPr>
          <w:p w14:paraId="6C290EAE" w14:textId="4DF7D957" w:rsidR="00D56EA7" w:rsidRDefault="00D56EA7" w:rsidP="00D56EA7">
            <w:pPr>
              <w:spacing w:before="0"/>
            </w:pPr>
            <w:r>
              <w:lastRenderedPageBreak/>
              <w:t>4</w:t>
            </w:r>
            <w:r w:rsidR="00EC0C94">
              <w:t>6</w:t>
            </w:r>
          </w:p>
        </w:tc>
        <w:tc>
          <w:tcPr>
            <w:tcW w:w="2126" w:type="dxa"/>
          </w:tcPr>
          <w:p w14:paraId="7E25128F" w14:textId="3F4F2EC2" w:rsidR="00D56EA7" w:rsidRPr="00F90FB3" w:rsidRDefault="00D56EA7" w:rsidP="004A34E8">
            <w:pPr>
              <w:pStyle w:val="Heading3"/>
            </w:pPr>
            <w:bookmarkStart w:id="98" w:name="_Employer_discretion_(retirement"/>
            <w:bookmarkEnd w:id="98"/>
            <w:r w:rsidRPr="00F90FB3">
              <w:t xml:space="preserve">Employer discretion (retirement – deferred) </w:t>
            </w:r>
            <w:r w:rsidR="00722C22">
              <w:t>–</w:t>
            </w:r>
            <w:r w:rsidRPr="00F90FB3">
              <w:t xml:space="preserve"> employer no longer participates in the </w:t>
            </w:r>
            <w:r w:rsidR="00AF1B4E">
              <w:t>LGPS</w:t>
            </w:r>
          </w:p>
        </w:tc>
        <w:tc>
          <w:tcPr>
            <w:tcW w:w="3686" w:type="dxa"/>
          </w:tcPr>
          <w:p w14:paraId="50020CC5" w14:textId="7A42499B" w:rsidR="00D56EA7" w:rsidRDefault="00D56EA7" w:rsidP="00D56EA7">
            <w:pPr>
              <w:spacing w:before="0"/>
            </w:pPr>
            <w:r>
              <w:t>Where:</w:t>
            </w:r>
          </w:p>
          <w:p w14:paraId="79B0B81B" w14:textId="4A0D85D3" w:rsidR="00D56EA7" w:rsidRDefault="00D56EA7" w:rsidP="00D56EA7">
            <w:pPr>
              <w:pStyle w:val="ListBullet"/>
            </w:pPr>
            <w:r>
              <w:t>the member left with deferred benefits between 1 April 2009 and 31 March 2015,</w:t>
            </w:r>
          </w:p>
          <w:p w14:paraId="0B93DC26" w14:textId="29C150AA" w:rsidR="00D56EA7" w:rsidRDefault="00D56EA7" w:rsidP="00D56EA7">
            <w:pPr>
              <w:pStyle w:val="ListBullet"/>
            </w:pPr>
            <w:r>
              <w:t>the member elects for payment between 55 and 60, and</w:t>
            </w:r>
          </w:p>
          <w:p w14:paraId="6F45E0C5" w14:textId="2FB62101" w:rsidR="00D56EA7" w:rsidRDefault="00D56EA7" w:rsidP="00D56EA7">
            <w:pPr>
              <w:pStyle w:val="ListBullet"/>
            </w:pPr>
            <w:r>
              <w:t xml:space="preserve">the employer no longer participates in the </w:t>
            </w:r>
            <w:r w:rsidR="00AF1B4E">
              <w:t>LGPS</w:t>
            </w:r>
            <w:r>
              <w:t>.</w:t>
            </w:r>
          </w:p>
        </w:tc>
        <w:tc>
          <w:tcPr>
            <w:tcW w:w="4819" w:type="dxa"/>
          </w:tcPr>
          <w:p w14:paraId="5CC4CEDE" w14:textId="6D9DE143" w:rsidR="00D56EA7" w:rsidRDefault="00D56EA7" w:rsidP="00D56EA7">
            <w:pPr>
              <w:spacing w:before="0"/>
            </w:pPr>
            <w:r>
              <w:t>Ordinarily, you will treat the election as being made under regulation 3(13) of the 2014 Transitional Regulations. For these:</w:t>
            </w:r>
          </w:p>
          <w:p w14:paraId="0540FA1C" w14:textId="615F07E4" w:rsidR="00D56EA7" w:rsidRDefault="00D56EA7" w:rsidP="00D56EA7">
            <w:pPr>
              <w:pStyle w:val="ListBullet"/>
            </w:pPr>
            <w:r>
              <w:t>you do not need to consent,</w:t>
            </w:r>
          </w:p>
          <w:p w14:paraId="28C7C762" w14:textId="1C90ADC8" w:rsidR="00D56EA7" w:rsidRDefault="00D56EA7" w:rsidP="00D56EA7">
            <w:pPr>
              <w:pStyle w:val="ListBullet"/>
            </w:pPr>
            <w:r>
              <w:t>the benefits will be reduced for early payment, and</w:t>
            </w:r>
          </w:p>
          <w:p w14:paraId="1338D1D2" w14:textId="08702127" w:rsidR="00D56EA7" w:rsidRDefault="00D56EA7" w:rsidP="00D56EA7">
            <w:pPr>
              <w:pStyle w:val="ListBullet"/>
            </w:pPr>
            <w:r>
              <w:t>you may not agree to waive any of the reductions.</w:t>
            </w:r>
          </w:p>
          <w:p w14:paraId="66CCEA43" w14:textId="2F25F601" w:rsidR="00D56EA7" w:rsidRDefault="00D56EA7" w:rsidP="00D56EA7">
            <w:pPr>
              <w:spacing w:after="0"/>
            </w:pPr>
            <w:r>
              <w:t>If you want to waive any reductions for early payment, you firstly must decide to treat the election as an election under 30(2) of the 2008 Benefit Regulations.</w:t>
            </w:r>
          </w:p>
        </w:tc>
        <w:tc>
          <w:tcPr>
            <w:tcW w:w="1701" w:type="dxa"/>
          </w:tcPr>
          <w:p w14:paraId="2D4A7D04" w14:textId="77777777" w:rsidR="00D56EA7" w:rsidRDefault="00D56EA7" w:rsidP="00D56EA7">
            <w:pPr>
              <w:spacing w:before="0"/>
            </w:pPr>
            <w:r>
              <w:t>No</w:t>
            </w:r>
          </w:p>
          <w:p w14:paraId="5E44008D" w14:textId="1DAACCB6"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71D616DB" w14:textId="12A7C9AA" w:rsidR="00D56EA7" w:rsidRDefault="00D56EA7" w:rsidP="00D56EA7">
            <w:pPr>
              <w:spacing w:before="0"/>
            </w:pPr>
            <w:r>
              <w:t>30(2)(c) of the 2008 Benefit Regulations</w:t>
            </w:r>
          </w:p>
        </w:tc>
      </w:tr>
      <w:tr w:rsidR="00D56EA7" w14:paraId="7D5FB7B0" w14:textId="77777777" w:rsidTr="00AF5D4D">
        <w:trPr>
          <w:cantSplit/>
        </w:trPr>
        <w:tc>
          <w:tcPr>
            <w:tcW w:w="704" w:type="dxa"/>
          </w:tcPr>
          <w:p w14:paraId="40D02231" w14:textId="66A68C55" w:rsidR="00D56EA7" w:rsidRDefault="00D56EA7" w:rsidP="00D56EA7">
            <w:pPr>
              <w:spacing w:before="0"/>
            </w:pPr>
            <w:r>
              <w:lastRenderedPageBreak/>
              <w:t>4</w:t>
            </w:r>
            <w:r w:rsidR="00EC0C94">
              <w:t>7</w:t>
            </w:r>
          </w:p>
        </w:tc>
        <w:tc>
          <w:tcPr>
            <w:tcW w:w="2126" w:type="dxa"/>
          </w:tcPr>
          <w:p w14:paraId="0BBC8559" w14:textId="6405D548" w:rsidR="00D56EA7" w:rsidRPr="009D51E6" w:rsidRDefault="00D56EA7" w:rsidP="004A34E8">
            <w:pPr>
              <w:pStyle w:val="Heading3"/>
            </w:pPr>
            <w:bookmarkStart w:id="99" w:name="_Employer_discretion_(retirement_1"/>
            <w:bookmarkEnd w:id="99"/>
            <w:r w:rsidRPr="009D51E6">
              <w:t xml:space="preserve">Employer discretion (retirement – deferred) </w:t>
            </w:r>
            <w:r w:rsidR="00722C22">
              <w:t>–</w:t>
            </w:r>
            <w:r w:rsidRPr="009D51E6">
              <w:t xml:space="preserve"> employer no longer participates in the </w:t>
            </w:r>
            <w:r w:rsidR="00AF1B4E">
              <w:t>LGPS</w:t>
            </w:r>
          </w:p>
        </w:tc>
        <w:tc>
          <w:tcPr>
            <w:tcW w:w="3686" w:type="dxa"/>
          </w:tcPr>
          <w:p w14:paraId="609C3D66" w14:textId="213FC5F2" w:rsidR="00D56EA7" w:rsidRDefault="00D56EA7" w:rsidP="00D56EA7">
            <w:pPr>
              <w:spacing w:before="0"/>
            </w:pPr>
            <w:r>
              <w:t>Where:</w:t>
            </w:r>
          </w:p>
          <w:p w14:paraId="32A55874" w14:textId="26999AD3" w:rsidR="00D56EA7" w:rsidRDefault="00D56EA7" w:rsidP="00D56EA7">
            <w:pPr>
              <w:pStyle w:val="ListBullet"/>
            </w:pPr>
            <w:r>
              <w:t>the member left with deferred benefits after 31 March 2015,</w:t>
            </w:r>
          </w:p>
          <w:p w14:paraId="1C14A3A3" w14:textId="0FC3BE25" w:rsidR="00D56EA7" w:rsidRDefault="00D56EA7" w:rsidP="00D56EA7">
            <w:pPr>
              <w:pStyle w:val="ListBullet"/>
            </w:pPr>
            <w:r>
              <w:t>the member will receive reduced benefits for early payment, and</w:t>
            </w:r>
          </w:p>
          <w:p w14:paraId="5A546F1D" w14:textId="3A6E12AB" w:rsidR="00D56EA7" w:rsidRDefault="00D56EA7" w:rsidP="00D56EA7">
            <w:pPr>
              <w:pStyle w:val="ListBullet"/>
            </w:pPr>
            <w:r>
              <w:t xml:space="preserve">the employer no longer participates in the </w:t>
            </w:r>
            <w:r w:rsidR="00AF1B4E">
              <w:t>LGPS</w:t>
            </w:r>
            <w:r>
              <w:t>.</w:t>
            </w:r>
          </w:p>
        </w:tc>
        <w:tc>
          <w:tcPr>
            <w:tcW w:w="4819" w:type="dxa"/>
          </w:tcPr>
          <w:p w14:paraId="743785D2" w14:textId="4F7C1782" w:rsidR="00D56EA7" w:rsidRDefault="00D56EA7" w:rsidP="00D56EA7">
            <w:pPr>
              <w:spacing w:before="0"/>
            </w:pPr>
            <w:r>
              <w:t>Decide whether to agree to waive all, some or none of the reductions.</w:t>
            </w:r>
          </w:p>
        </w:tc>
        <w:tc>
          <w:tcPr>
            <w:tcW w:w="1701" w:type="dxa"/>
          </w:tcPr>
          <w:p w14:paraId="2845E428" w14:textId="77777777" w:rsidR="00D56EA7" w:rsidRDefault="00D56EA7" w:rsidP="00D56EA7">
            <w:pPr>
              <w:spacing w:before="0"/>
            </w:pPr>
            <w:r>
              <w:t>Yes</w:t>
            </w:r>
          </w:p>
          <w:p w14:paraId="1115C4C6" w14:textId="669EB8FB" w:rsidR="00D56EA7" w:rsidRDefault="00D56EA7" w:rsidP="00D56EA7">
            <w:pPr>
              <w:spacing w:before="0"/>
            </w:pPr>
            <w:r>
              <w:t xml:space="preserve">See </w:t>
            </w:r>
            <w:hyperlink w:anchor="_Note_2" w:history="1">
              <w:r w:rsidRPr="00276C40">
                <w:rPr>
                  <w:rStyle w:val="Hyperlink"/>
                </w:rPr>
                <w:t>Note 2</w:t>
              </w:r>
            </w:hyperlink>
          </w:p>
        </w:tc>
        <w:tc>
          <w:tcPr>
            <w:tcW w:w="1843" w:type="dxa"/>
          </w:tcPr>
          <w:p w14:paraId="0D35585B" w14:textId="722B5E75" w:rsidR="00D56EA7" w:rsidRDefault="00D56EA7" w:rsidP="00D56EA7">
            <w:pPr>
              <w:spacing w:before="0"/>
              <w:rPr>
                <w:rStyle w:val="Hyperlink"/>
                <w:color w:val="auto"/>
                <w:u w:val="none"/>
              </w:rPr>
            </w:pPr>
            <w:r>
              <w:t>29(9) of the 2018 Regulations</w:t>
            </w:r>
          </w:p>
          <w:p w14:paraId="7E507DD6" w14:textId="77777777" w:rsidR="00D56EA7" w:rsidRDefault="00D56EA7" w:rsidP="00D56EA7">
            <w:pPr>
              <w:spacing w:before="0"/>
            </w:pPr>
            <w:r>
              <w:rPr>
                <w:rStyle w:val="Hyperlink"/>
                <w:color w:val="auto"/>
                <w:u w:val="none"/>
              </w:rPr>
              <w:t xml:space="preserve">Paragraphs 1(5) and 2(1) of schedule 2 to, and regulation </w:t>
            </w:r>
            <w:r w:rsidRPr="000363DB">
              <w:rPr>
                <w:rStyle w:val="Hyperlink"/>
                <w:color w:val="auto"/>
                <w:u w:val="none"/>
              </w:rPr>
              <w:t>3(12) of</w:t>
            </w:r>
            <w:r>
              <w:rPr>
                <w:rStyle w:val="Hyperlink"/>
                <w:color w:val="auto"/>
                <w:u w:val="none"/>
              </w:rPr>
              <w:t xml:space="preserve">, </w:t>
            </w:r>
            <w:r>
              <w:t>the 2014 Transitional Regulations</w:t>
            </w:r>
          </w:p>
          <w:p w14:paraId="0B2AA099" w14:textId="78CCBA7D" w:rsidR="00D56EA7" w:rsidRDefault="00D56EA7" w:rsidP="00D56EA7">
            <w:pPr>
              <w:spacing w:before="0" w:after="0"/>
            </w:pPr>
            <w:r>
              <w:t>30(5) of the 2008 Benefit Regulations</w:t>
            </w:r>
          </w:p>
        </w:tc>
      </w:tr>
      <w:tr w:rsidR="00D56EA7" w14:paraId="17C2FD37" w14:textId="77777777" w:rsidTr="00AF5D4D">
        <w:trPr>
          <w:cantSplit/>
        </w:trPr>
        <w:tc>
          <w:tcPr>
            <w:tcW w:w="704" w:type="dxa"/>
          </w:tcPr>
          <w:p w14:paraId="3D5139E1" w14:textId="4436533A" w:rsidR="00D56EA7" w:rsidRDefault="00D56EA7" w:rsidP="00D56EA7">
            <w:pPr>
              <w:spacing w:before="0"/>
            </w:pPr>
            <w:r>
              <w:lastRenderedPageBreak/>
              <w:t>4</w:t>
            </w:r>
            <w:r w:rsidR="00EC0C94">
              <w:t>8</w:t>
            </w:r>
          </w:p>
        </w:tc>
        <w:tc>
          <w:tcPr>
            <w:tcW w:w="2126" w:type="dxa"/>
          </w:tcPr>
          <w:p w14:paraId="702638BB" w14:textId="3C626DDF" w:rsidR="00D56EA7" w:rsidRPr="00075A97" w:rsidRDefault="00D56EA7" w:rsidP="004A34E8">
            <w:pPr>
              <w:pStyle w:val="Heading3"/>
            </w:pPr>
            <w:bookmarkStart w:id="100" w:name="_Employer_discretion_(retirement_2"/>
            <w:bookmarkEnd w:id="100"/>
            <w:r w:rsidRPr="00075A97">
              <w:t xml:space="preserve">Employer discretion (retirement – deferred) </w:t>
            </w:r>
            <w:r w:rsidR="00722C22">
              <w:t>–</w:t>
            </w:r>
            <w:r w:rsidRPr="00075A97">
              <w:t xml:space="preserve"> employer no longer participates in the </w:t>
            </w:r>
            <w:r w:rsidR="00AF1B4E">
              <w:t>LGPS</w:t>
            </w:r>
          </w:p>
        </w:tc>
        <w:tc>
          <w:tcPr>
            <w:tcW w:w="3686" w:type="dxa"/>
          </w:tcPr>
          <w:p w14:paraId="1119EFF5" w14:textId="2624749C" w:rsidR="00D56EA7" w:rsidRDefault="00D56EA7" w:rsidP="00D56EA7">
            <w:pPr>
              <w:spacing w:before="0"/>
            </w:pPr>
            <w:r>
              <w:t>Where:</w:t>
            </w:r>
          </w:p>
          <w:p w14:paraId="2B175023" w14:textId="31AA35C9" w:rsidR="00D56EA7" w:rsidRDefault="00D56EA7" w:rsidP="00D56EA7">
            <w:pPr>
              <w:pStyle w:val="ListBullet"/>
            </w:pPr>
            <w:r>
              <w:t>the member left active membership after 31 March 2015 with deferred benefits,</w:t>
            </w:r>
          </w:p>
          <w:p w14:paraId="386A2927" w14:textId="418011A5" w:rsidR="00D56EA7" w:rsidRDefault="00D56EA7" w:rsidP="00D56EA7">
            <w:pPr>
              <w:pStyle w:val="ListBullet"/>
            </w:pPr>
            <w:r>
              <w:t>the member elects for payment between 55 and 60,</w:t>
            </w:r>
          </w:p>
          <w:p w14:paraId="5BB9A039" w14:textId="02855C07" w:rsidR="00D56EA7" w:rsidRDefault="00D56EA7" w:rsidP="00D56EA7">
            <w:pPr>
              <w:pStyle w:val="ListBullet"/>
            </w:pPr>
            <w:r>
              <w:t>the member qualifies for rule of 85 protection, and satisfies it before 60, and</w:t>
            </w:r>
          </w:p>
          <w:p w14:paraId="055B5D51" w14:textId="404200F4" w:rsidR="00D56EA7" w:rsidRDefault="00D56EA7" w:rsidP="00D56EA7">
            <w:pPr>
              <w:pStyle w:val="ListBullet"/>
            </w:pPr>
            <w:r>
              <w:t xml:space="preserve">the employer no longer participates in the </w:t>
            </w:r>
            <w:r w:rsidR="00AF1B4E">
              <w:t>LGPS</w:t>
            </w:r>
            <w:r>
              <w:t>.</w:t>
            </w:r>
          </w:p>
        </w:tc>
        <w:tc>
          <w:tcPr>
            <w:tcW w:w="4819" w:type="dxa"/>
          </w:tcPr>
          <w:p w14:paraId="1D1797D0" w14:textId="008BFD4C" w:rsidR="00D56EA7" w:rsidRDefault="00D56EA7" w:rsidP="00D56EA7">
            <w:pPr>
              <w:spacing w:before="0"/>
            </w:pPr>
            <w:r>
              <w:t>You will treat the member as satisfying the rule of 85 at age 60 when calculating the early payment reductions. However, you can decide to use the actual date the member satisfies the rule of 85 instead.</w:t>
            </w:r>
          </w:p>
        </w:tc>
        <w:tc>
          <w:tcPr>
            <w:tcW w:w="1701" w:type="dxa"/>
          </w:tcPr>
          <w:p w14:paraId="6F21DFB7" w14:textId="77777777" w:rsidR="00D56EA7" w:rsidRDefault="00D56EA7" w:rsidP="00D56EA7">
            <w:pPr>
              <w:spacing w:before="0"/>
            </w:pPr>
            <w:r>
              <w:t>Yes</w:t>
            </w:r>
          </w:p>
          <w:p w14:paraId="2D27C08F" w14:textId="01905F5A" w:rsidR="00D56EA7" w:rsidRDefault="00D56EA7" w:rsidP="00D56EA7">
            <w:pPr>
              <w:spacing w:before="0"/>
            </w:pPr>
            <w:r>
              <w:t xml:space="preserve">See </w:t>
            </w:r>
            <w:hyperlink w:anchor="_Note_2" w:history="1">
              <w:r w:rsidRPr="00276C40">
                <w:rPr>
                  <w:rStyle w:val="Hyperlink"/>
                </w:rPr>
                <w:t>Note 2</w:t>
              </w:r>
            </w:hyperlink>
          </w:p>
        </w:tc>
        <w:tc>
          <w:tcPr>
            <w:tcW w:w="1843" w:type="dxa"/>
          </w:tcPr>
          <w:p w14:paraId="6912F80D" w14:textId="6BA8F2B6" w:rsidR="00D56EA7" w:rsidRDefault="00D56EA7" w:rsidP="00D56EA7">
            <w:pPr>
              <w:spacing w:before="0"/>
            </w:pPr>
            <w:r>
              <w:rPr>
                <w:rStyle w:val="Hyperlink"/>
                <w:color w:val="auto"/>
                <w:u w:val="none"/>
              </w:rPr>
              <w:t xml:space="preserve">Paragraphs 1(5) and 1(1)(c) of schedule 2 to </w:t>
            </w:r>
            <w:r>
              <w:t>the 2014 Transitional Regulations</w:t>
            </w:r>
          </w:p>
        </w:tc>
      </w:tr>
      <w:tr w:rsidR="00D56EA7" w14:paraId="057AD72A" w14:textId="77777777" w:rsidTr="00AF5D4D">
        <w:trPr>
          <w:cantSplit/>
        </w:trPr>
        <w:tc>
          <w:tcPr>
            <w:tcW w:w="704" w:type="dxa"/>
          </w:tcPr>
          <w:p w14:paraId="6D58EC4C" w14:textId="3D4753FA" w:rsidR="00D56EA7" w:rsidRDefault="00D56EA7" w:rsidP="00D56EA7">
            <w:pPr>
              <w:spacing w:before="0"/>
            </w:pPr>
            <w:r>
              <w:lastRenderedPageBreak/>
              <w:t>4</w:t>
            </w:r>
            <w:r w:rsidR="00EC0C94">
              <w:t>9</w:t>
            </w:r>
          </w:p>
        </w:tc>
        <w:tc>
          <w:tcPr>
            <w:tcW w:w="2126" w:type="dxa"/>
          </w:tcPr>
          <w:p w14:paraId="076E1CE5" w14:textId="7F16C88F" w:rsidR="00D56EA7" w:rsidRPr="00C90A63" w:rsidRDefault="00D56EA7" w:rsidP="004A34E8">
            <w:pPr>
              <w:pStyle w:val="Heading3"/>
            </w:pPr>
            <w:bookmarkStart w:id="101" w:name="_Employer_discretion_(retirement_3"/>
            <w:bookmarkEnd w:id="101"/>
            <w:r w:rsidRPr="00C90A63">
              <w:t xml:space="preserve">Employer discretion (retirement – deferred) </w:t>
            </w:r>
            <w:r w:rsidR="00722C22" w:rsidRPr="00722C22">
              <w:rPr>
                <w:rFonts w:cs="Arial"/>
              </w:rPr>
              <w:t>–</w:t>
            </w:r>
            <w:r w:rsidRPr="00C90A63">
              <w:t xml:space="preserve"> employer no longer participates in the </w:t>
            </w:r>
            <w:r w:rsidR="00AF1B4E">
              <w:t>LGPS</w:t>
            </w:r>
          </w:p>
        </w:tc>
        <w:tc>
          <w:tcPr>
            <w:tcW w:w="3686" w:type="dxa"/>
          </w:tcPr>
          <w:p w14:paraId="09D8ECD8" w14:textId="77777777" w:rsidR="00D56EA7" w:rsidRDefault="00D56EA7" w:rsidP="00D56EA7">
            <w:pPr>
              <w:spacing w:before="0"/>
            </w:pPr>
            <w:r>
              <w:t>Where:</w:t>
            </w:r>
          </w:p>
          <w:p w14:paraId="48A2DEF5" w14:textId="142FD3B1" w:rsidR="00D56EA7" w:rsidRPr="00111DF9" w:rsidRDefault="00D56EA7" w:rsidP="00D56EA7">
            <w:pPr>
              <w:pStyle w:val="ListBullet"/>
            </w:pPr>
            <w:r>
              <w:t xml:space="preserve">the member </w:t>
            </w:r>
            <w:r w:rsidRPr="00111DF9">
              <w:t>left with deferred benefits between 1 April 2009 and 31 March 2015,</w:t>
            </w:r>
          </w:p>
          <w:p w14:paraId="1C2B7D3E" w14:textId="77777777" w:rsidR="00D56EA7" w:rsidRDefault="00D56EA7" w:rsidP="00D56EA7">
            <w:pPr>
              <w:pStyle w:val="ListBullet"/>
            </w:pPr>
            <w:r>
              <w:t xml:space="preserve">the member </w:t>
            </w:r>
            <w:r w:rsidRPr="00111DF9">
              <w:t>elects for early payment,</w:t>
            </w:r>
          </w:p>
          <w:p w14:paraId="04033168" w14:textId="77777777" w:rsidR="00D56EA7" w:rsidRDefault="00D56EA7" w:rsidP="00D56EA7">
            <w:pPr>
              <w:pStyle w:val="ListBullet"/>
            </w:pPr>
            <w:r>
              <w:t>the member’s benefits will be reduced for early payment, and</w:t>
            </w:r>
          </w:p>
          <w:p w14:paraId="26572548" w14:textId="66485E58" w:rsidR="00D56EA7" w:rsidRDefault="00D56EA7" w:rsidP="00D56EA7">
            <w:pPr>
              <w:pStyle w:val="ListBullet"/>
            </w:pPr>
            <w:r>
              <w:t xml:space="preserve">the employer no longer participates in the </w:t>
            </w:r>
            <w:r w:rsidR="00AF1B4E">
              <w:t>LGPS</w:t>
            </w:r>
            <w:r>
              <w:t>.</w:t>
            </w:r>
          </w:p>
        </w:tc>
        <w:tc>
          <w:tcPr>
            <w:tcW w:w="4819" w:type="dxa"/>
          </w:tcPr>
          <w:p w14:paraId="3F538716" w14:textId="02AFA8F1" w:rsidR="00D56EA7" w:rsidRDefault="00D56EA7" w:rsidP="00D56EA7">
            <w:pPr>
              <w:spacing w:before="0"/>
            </w:pPr>
            <w:r w:rsidRPr="00111DF9">
              <w:t>Decide whether</w:t>
            </w:r>
            <w:r>
              <w:t xml:space="preserve"> to waive all or none of the reductions </w:t>
            </w:r>
            <w:r w:rsidRPr="00111DF9">
              <w:t>on compassionate grounds</w:t>
            </w:r>
            <w:r>
              <w:t>.</w:t>
            </w:r>
          </w:p>
          <w:p w14:paraId="783DF573" w14:textId="346B086F" w:rsidR="00D56EA7" w:rsidRDefault="00D56EA7" w:rsidP="00D56EA7">
            <w:pPr>
              <w:spacing w:before="0"/>
            </w:pPr>
            <w:r w:rsidRPr="00085E79">
              <w:t>You can only agree to this if you have also agreed that the election is to be made under regulation 30(1) of the 2008 Benefit Regulations. The default position is that the election would be made under regulation 3(13) of the 2014 Transitional Regulations. You cannot waive reductions for such elections. See discretion 4</w:t>
            </w:r>
            <w:r w:rsidR="0022727E">
              <w:t>6</w:t>
            </w:r>
            <w:r w:rsidRPr="00085E79">
              <w:t>.</w:t>
            </w:r>
          </w:p>
        </w:tc>
        <w:tc>
          <w:tcPr>
            <w:tcW w:w="1701" w:type="dxa"/>
          </w:tcPr>
          <w:p w14:paraId="4E14E1C6" w14:textId="77777777" w:rsidR="00D56EA7" w:rsidRPr="00111DF9" w:rsidRDefault="00D56EA7" w:rsidP="00D56EA7">
            <w:pPr>
              <w:spacing w:before="0"/>
            </w:pPr>
            <w:r w:rsidRPr="00111DF9">
              <w:t>Yes</w:t>
            </w:r>
          </w:p>
          <w:p w14:paraId="1226537B" w14:textId="2249C654" w:rsidR="00D56EA7" w:rsidRPr="00111DF9" w:rsidRDefault="00D56EA7" w:rsidP="00D56EA7">
            <w:pPr>
              <w:spacing w:before="0"/>
            </w:pPr>
            <w:r w:rsidRPr="00111DF9">
              <w:t xml:space="preserve">See </w:t>
            </w:r>
            <w:hyperlink w:anchor="_Note_2" w:history="1">
              <w:r w:rsidRPr="00111DF9">
                <w:rPr>
                  <w:rStyle w:val="Hyperlink"/>
                </w:rPr>
                <w:t>Note 2</w:t>
              </w:r>
            </w:hyperlink>
            <w:r w:rsidRPr="00111DF9">
              <w:t xml:space="preserve"> for benefits covered by rule of 85 protection</w:t>
            </w:r>
            <w:r>
              <w:t>.</w:t>
            </w:r>
          </w:p>
          <w:p w14:paraId="7BFE22C0" w14:textId="62884EF4" w:rsidR="00D56EA7" w:rsidRDefault="00D56EA7" w:rsidP="00D56EA7">
            <w:pPr>
              <w:spacing w:before="0"/>
            </w:pPr>
            <w:r w:rsidRPr="00111DF9">
              <w:t xml:space="preserve">See </w:t>
            </w:r>
            <w:hyperlink w:anchor="_Note_1_–" w:history="1">
              <w:r>
                <w:rPr>
                  <w:rStyle w:val="Hyperlink"/>
                </w:rPr>
                <w:t>Note 1</w:t>
              </w:r>
            </w:hyperlink>
            <w:r w:rsidRPr="00111DF9">
              <w:t xml:space="preserve"> for benefits not covered by rule of 85 protection</w:t>
            </w:r>
            <w:r>
              <w:t>.</w:t>
            </w:r>
          </w:p>
        </w:tc>
        <w:tc>
          <w:tcPr>
            <w:tcW w:w="1843" w:type="dxa"/>
          </w:tcPr>
          <w:p w14:paraId="7B61F3E5" w14:textId="02611C53" w:rsidR="00D56EA7" w:rsidRPr="00111DF9" w:rsidRDefault="00D56EA7" w:rsidP="00D56EA7">
            <w:pPr>
              <w:spacing w:before="0" w:after="120"/>
              <w:rPr>
                <w:rStyle w:val="Hyperlink"/>
                <w:color w:val="auto"/>
                <w:u w:val="none"/>
              </w:rPr>
            </w:pPr>
            <w:r w:rsidRPr="00111DF9">
              <w:rPr>
                <w:rStyle w:val="Hyperlink"/>
                <w:color w:val="auto"/>
                <w:u w:val="none"/>
              </w:rPr>
              <w:t>Paragraph</w:t>
            </w:r>
            <w:r>
              <w:rPr>
                <w:rStyle w:val="Hyperlink"/>
                <w:color w:val="auto"/>
                <w:u w:val="none"/>
              </w:rPr>
              <w:t>s 1(5) and</w:t>
            </w:r>
            <w:r w:rsidRPr="00111DF9">
              <w:rPr>
                <w:rStyle w:val="Hyperlink"/>
                <w:color w:val="auto"/>
                <w:u w:val="none"/>
              </w:rPr>
              <w:t xml:space="preserve"> 2(1) of schedule 2 to </w:t>
            </w:r>
            <w:r w:rsidRPr="00111DF9">
              <w:t>the 2014 Transitional Regulations</w:t>
            </w:r>
          </w:p>
          <w:p w14:paraId="5F882831" w14:textId="0D3600BC" w:rsidR="00D56EA7" w:rsidRDefault="00D56EA7" w:rsidP="00D56EA7">
            <w:pPr>
              <w:spacing w:before="0"/>
              <w:rPr>
                <w:rStyle w:val="Hyperlink"/>
                <w:color w:val="auto"/>
                <w:u w:val="none"/>
              </w:rPr>
            </w:pPr>
            <w:r w:rsidRPr="00111DF9">
              <w:rPr>
                <w:rStyle w:val="Hyperlink"/>
                <w:color w:val="auto"/>
                <w:u w:val="none"/>
              </w:rPr>
              <w:t xml:space="preserve">30(5) of </w:t>
            </w:r>
            <w:r w:rsidRPr="00111DF9">
              <w:t>the 2008 Benefit Regulations</w:t>
            </w:r>
          </w:p>
        </w:tc>
      </w:tr>
      <w:tr w:rsidR="00D56EA7" w14:paraId="3212C72B" w14:textId="77777777" w:rsidTr="00AF5D4D">
        <w:trPr>
          <w:cantSplit/>
        </w:trPr>
        <w:tc>
          <w:tcPr>
            <w:tcW w:w="704" w:type="dxa"/>
          </w:tcPr>
          <w:p w14:paraId="1D9F8108" w14:textId="6EA7F537" w:rsidR="00D56EA7" w:rsidRDefault="00EC0C94" w:rsidP="00D56EA7">
            <w:pPr>
              <w:spacing w:before="0"/>
            </w:pPr>
            <w:r>
              <w:t>50</w:t>
            </w:r>
          </w:p>
        </w:tc>
        <w:tc>
          <w:tcPr>
            <w:tcW w:w="2126" w:type="dxa"/>
          </w:tcPr>
          <w:p w14:paraId="55EAFABA" w14:textId="185F5DD5" w:rsidR="00D56EA7" w:rsidRPr="00BF31D7" w:rsidRDefault="00D56EA7" w:rsidP="004A34E8">
            <w:pPr>
              <w:pStyle w:val="Heading3"/>
            </w:pPr>
            <w:bookmarkStart w:id="102" w:name="_Exchange_of_information"/>
            <w:bookmarkEnd w:id="102"/>
            <w:r w:rsidRPr="00BF31D7">
              <w:t>Exchange of information</w:t>
            </w:r>
          </w:p>
        </w:tc>
        <w:tc>
          <w:tcPr>
            <w:tcW w:w="3686" w:type="dxa"/>
          </w:tcPr>
          <w:p w14:paraId="32A18677" w14:textId="1C141B38" w:rsidR="00D56EA7" w:rsidRDefault="00D56EA7" w:rsidP="00D56EA7">
            <w:pPr>
              <w:spacing w:before="0"/>
            </w:pPr>
            <w:r>
              <w:t>All employers</w:t>
            </w:r>
          </w:p>
        </w:tc>
        <w:tc>
          <w:tcPr>
            <w:tcW w:w="4819" w:type="dxa"/>
          </w:tcPr>
          <w:p w14:paraId="79B060D0" w14:textId="3073BB42" w:rsidR="00D56EA7" w:rsidRDefault="00D56EA7" w:rsidP="00D56EA7">
            <w:pPr>
              <w:spacing w:before="0"/>
            </w:pPr>
            <w:r>
              <w:t xml:space="preserve">Decide the information you need from employers to enable you to discharge your </w:t>
            </w:r>
            <w:r w:rsidR="00AF1B4E">
              <w:t>LGPS</w:t>
            </w:r>
            <w:r>
              <w:t xml:space="preserve"> functions.</w:t>
            </w:r>
          </w:p>
        </w:tc>
        <w:tc>
          <w:tcPr>
            <w:tcW w:w="1701" w:type="dxa"/>
          </w:tcPr>
          <w:p w14:paraId="7B375BBC" w14:textId="77777777" w:rsidR="00D56EA7" w:rsidRDefault="00D56EA7" w:rsidP="00D56EA7">
            <w:pPr>
              <w:spacing w:before="0"/>
            </w:pPr>
            <w:r>
              <w:t>No</w:t>
            </w:r>
          </w:p>
          <w:p w14:paraId="7E7F06BE" w14:textId="266E942D"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4127FBE6" w14:textId="0C001552" w:rsidR="00D56EA7" w:rsidRDefault="00D56EA7" w:rsidP="00D56EA7">
            <w:pPr>
              <w:spacing w:before="0"/>
              <w:rPr>
                <w:rStyle w:val="Hyperlink"/>
                <w:color w:val="auto"/>
                <w:u w:val="none"/>
              </w:rPr>
            </w:pPr>
            <w:r>
              <w:t>75(1)(b) of the 2018 Regulations</w:t>
            </w:r>
          </w:p>
          <w:p w14:paraId="6A32988A" w14:textId="4974943D" w:rsidR="00D56EA7" w:rsidRPr="008845E0" w:rsidRDefault="00D56EA7" w:rsidP="00D56EA7">
            <w:pPr>
              <w:spacing w:before="0" w:after="0"/>
            </w:pPr>
            <w:r>
              <w:rPr>
                <w:rStyle w:val="Hyperlink"/>
                <w:color w:val="auto"/>
                <w:u w:val="none"/>
              </w:rPr>
              <w:t xml:space="preserve">22(1) of </w:t>
            </w:r>
            <w:r>
              <w:t>the 2014 Transitional Regulations</w:t>
            </w:r>
          </w:p>
        </w:tc>
      </w:tr>
      <w:tr w:rsidR="00D56EA7" w14:paraId="5B21A663" w14:textId="77777777" w:rsidTr="00AF5D4D">
        <w:trPr>
          <w:cantSplit/>
        </w:trPr>
        <w:tc>
          <w:tcPr>
            <w:tcW w:w="704" w:type="dxa"/>
          </w:tcPr>
          <w:p w14:paraId="163BE17A" w14:textId="73BEF283" w:rsidR="00D56EA7" w:rsidRDefault="00EC0C94" w:rsidP="00D56EA7">
            <w:pPr>
              <w:spacing w:before="0"/>
            </w:pPr>
            <w:r>
              <w:lastRenderedPageBreak/>
              <w:t>51</w:t>
            </w:r>
          </w:p>
        </w:tc>
        <w:tc>
          <w:tcPr>
            <w:tcW w:w="2126" w:type="dxa"/>
          </w:tcPr>
          <w:p w14:paraId="684DCD45" w14:textId="25179F02" w:rsidR="00D56EA7" w:rsidRPr="00F45587" w:rsidRDefault="00D56EA7" w:rsidP="004A34E8">
            <w:pPr>
              <w:pStyle w:val="Heading3"/>
            </w:pPr>
            <w:bookmarkStart w:id="103" w:name="_Exiting_employer"/>
            <w:bookmarkStart w:id="104" w:name="_Hlk118964837"/>
            <w:bookmarkEnd w:id="103"/>
            <w:r w:rsidRPr="00F45587">
              <w:t>Exiting employer</w:t>
            </w:r>
          </w:p>
        </w:tc>
        <w:tc>
          <w:tcPr>
            <w:tcW w:w="3686" w:type="dxa"/>
          </w:tcPr>
          <w:p w14:paraId="4EB44BB2" w14:textId="1F76E78A" w:rsidR="00D56EA7" w:rsidRDefault="00D56EA7" w:rsidP="00D56EA7">
            <w:pPr>
              <w:spacing w:before="0"/>
            </w:pPr>
            <w:r>
              <w:t>An employer who has become an exiting employer and is liable to pay an exit payment.</w:t>
            </w:r>
          </w:p>
          <w:p w14:paraId="0BC8AC9B" w14:textId="2AC6DD38" w:rsidR="00D56EA7" w:rsidRDefault="00D56EA7" w:rsidP="00D56EA7">
            <w:pPr>
              <w:spacing w:before="0"/>
            </w:pPr>
            <w:r>
              <w:t>Regulation 61(10) of the 2018 Regulations defines an ‘exiting employer’.</w:t>
            </w:r>
          </w:p>
        </w:tc>
        <w:tc>
          <w:tcPr>
            <w:tcW w:w="4819" w:type="dxa"/>
          </w:tcPr>
          <w:p w14:paraId="71D27645" w14:textId="77777777" w:rsidR="00D56EA7" w:rsidRDefault="00D56EA7" w:rsidP="00D56EA7">
            <w:pPr>
              <w:spacing w:before="0"/>
            </w:pPr>
            <w:r>
              <w:t>Decide whether to:</w:t>
            </w:r>
          </w:p>
          <w:p w14:paraId="694CB8EF" w14:textId="65003432" w:rsidR="00D56EA7" w:rsidRDefault="00D56EA7" w:rsidP="00D56EA7">
            <w:pPr>
              <w:pStyle w:val="ListBullet"/>
            </w:pPr>
            <w:r>
              <w:t>require the employer to pay the exit payment</w:t>
            </w:r>
          </w:p>
          <w:p w14:paraId="0E7E6837" w14:textId="4CA57545" w:rsidR="00D56EA7" w:rsidRDefault="00D56EA7" w:rsidP="00D56EA7">
            <w:pPr>
              <w:pStyle w:val="ListBullet"/>
            </w:pPr>
            <w:r>
              <w:t>suspend the liability to pay the exit payment, or</w:t>
            </w:r>
          </w:p>
          <w:p w14:paraId="06ADED11" w14:textId="7B26F6D8" w:rsidR="00D56EA7" w:rsidRDefault="00D56EA7" w:rsidP="00D56EA7">
            <w:pPr>
              <w:pStyle w:val="ListBullet"/>
            </w:pPr>
            <w:r>
              <w:t>defer the liability by entering into a ‘deferred debt agreement’ if applicable.</w:t>
            </w:r>
          </w:p>
          <w:p w14:paraId="2C92764D" w14:textId="13907A5C" w:rsidR="00D56EA7" w:rsidRDefault="00D56EA7" w:rsidP="00D56EA7">
            <w:pPr>
              <w:spacing w:after="0"/>
            </w:pPr>
            <w:r>
              <w:t>Regulation 61(4B) of the 2018 Regulations sets out the conditions for you to be able to enter into a deferred debt agreement. This includes a condition that your funding strategy statement must set out your policy in this area.</w:t>
            </w:r>
          </w:p>
        </w:tc>
        <w:tc>
          <w:tcPr>
            <w:tcW w:w="1701" w:type="dxa"/>
          </w:tcPr>
          <w:p w14:paraId="09D12019" w14:textId="65EAFA36" w:rsidR="00D56EA7" w:rsidRPr="00647411" w:rsidRDefault="00D56EA7" w:rsidP="00D56EA7">
            <w:pPr>
              <w:spacing w:before="0"/>
            </w:pPr>
            <w:r>
              <w:t xml:space="preserve">This may be something to include in the funding strategy statement – see </w:t>
            </w:r>
            <w:hyperlink w:anchor="_Note_8_–" w:history="1">
              <w:r>
                <w:rPr>
                  <w:rStyle w:val="Hyperlink"/>
                </w:rPr>
                <w:t>Note 5</w:t>
              </w:r>
            </w:hyperlink>
          </w:p>
        </w:tc>
        <w:tc>
          <w:tcPr>
            <w:tcW w:w="1843" w:type="dxa"/>
          </w:tcPr>
          <w:p w14:paraId="36C9146F" w14:textId="7C4EA569" w:rsidR="00D56EA7" w:rsidRDefault="00D56EA7" w:rsidP="00D56EA7">
            <w:pPr>
              <w:spacing w:before="0"/>
            </w:pPr>
            <w:r>
              <w:t>61(1), (3) and (4A) of the 2018 Regulations</w:t>
            </w:r>
          </w:p>
        </w:tc>
      </w:tr>
      <w:tr w:rsidR="00D56EA7" w14:paraId="2FE66B56" w14:textId="77777777" w:rsidTr="00AF5D4D">
        <w:trPr>
          <w:cantSplit/>
        </w:trPr>
        <w:tc>
          <w:tcPr>
            <w:tcW w:w="704" w:type="dxa"/>
          </w:tcPr>
          <w:p w14:paraId="28FC793A" w14:textId="3425EC38" w:rsidR="00D56EA7" w:rsidRDefault="00A8770B" w:rsidP="00D56EA7">
            <w:pPr>
              <w:spacing w:before="0"/>
            </w:pPr>
            <w:r>
              <w:lastRenderedPageBreak/>
              <w:t>5</w:t>
            </w:r>
            <w:r w:rsidR="00EC0C94">
              <w:t>2</w:t>
            </w:r>
          </w:p>
        </w:tc>
        <w:tc>
          <w:tcPr>
            <w:tcW w:w="2126" w:type="dxa"/>
          </w:tcPr>
          <w:p w14:paraId="612843D1" w14:textId="58EFC0DB" w:rsidR="00D56EA7" w:rsidRPr="003264A4" w:rsidRDefault="00D56EA7" w:rsidP="004A34E8">
            <w:pPr>
              <w:pStyle w:val="Heading3"/>
            </w:pPr>
            <w:bookmarkStart w:id="105" w:name="_Exiting_employer_1"/>
            <w:bookmarkStart w:id="106" w:name="_Toc177712019"/>
            <w:bookmarkEnd w:id="104"/>
            <w:bookmarkEnd w:id="105"/>
            <w:r w:rsidRPr="003264A4">
              <w:t>Exiting employer</w:t>
            </w:r>
            <w:bookmarkEnd w:id="106"/>
          </w:p>
        </w:tc>
        <w:tc>
          <w:tcPr>
            <w:tcW w:w="3686" w:type="dxa"/>
          </w:tcPr>
          <w:p w14:paraId="2821D553" w14:textId="3EBDF3D4" w:rsidR="00D56EA7" w:rsidRDefault="00D56EA7" w:rsidP="00D56EA7">
            <w:pPr>
              <w:spacing w:before="0"/>
            </w:pPr>
            <w:r>
              <w:t>An employer who has become an exiting employer and is liable to pay an exit payment.</w:t>
            </w:r>
          </w:p>
          <w:p w14:paraId="60BE8F47" w14:textId="76E0B4BD" w:rsidR="00D56EA7" w:rsidRDefault="00D56EA7" w:rsidP="00D56EA7">
            <w:pPr>
              <w:spacing w:before="0"/>
            </w:pPr>
            <w:r>
              <w:t>Regulation 61(10) of the 2018 Regulations defines an ‘exiting employer’.</w:t>
            </w:r>
          </w:p>
        </w:tc>
        <w:tc>
          <w:tcPr>
            <w:tcW w:w="4819" w:type="dxa"/>
          </w:tcPr>
          <w:p w14:paraId="33C4F67A" w14:textId="722C3FDB" w:rsidR="00D56EA7" w:rsidRDefault="00D56EA7" w:rsidP="00D56EA7">
            <w:pPr>
              <w:spacing w:before="0"/>
            </w:pPr>
            <w:r>
              <w:t>Decide the period over which you consider reasonable for the employer to pay the exit payment.</w:t>
            </w:r>
          </w:p>
          <w:p w14:paraId="69E489F6" w14:textId="4FB5FFB5" w:rsidR="00D56EA7" w:rsidRDefault="00D56EA7" w:rsidP="00D56EA7">
            <w:pPr>
              <w:spacing w:before="0"/>
            </w:pPr>
            <w:r>
              <w:t>Alternatively, under regulation 61B of the 2018 Regulations, decide whether to allow the exit payment to be paid in instalments over such period as you consider reasonable.</w:t>
            </w:r>
          </w:p>
          <w:p w14:paraId="4CBB356E" w14:textId="6BC6D74E" w:rsidR="00D56EA7" w:rsidRDefault="00D56EA7" w:rsidP="00D56EA7">
            <w:pPr>
              <w:spacing w:before="0"/>
            </w:pPr>
            <w:r>
              <w:t>Before allowing the payment to be paid in instalments, you must consult the employer and consider views of an actuary you appointed.</w:t>
            </w:r>
          </w:p>
          <w:p w14:paraId="098B7548" w14:textId="5EEB3A08" w:rsidR="00D56EA7" w:rsidRDefault="00D56EA7" w:rsidP="00D56EA7">
            <w:pPr>
              <w:spacing w:before="0" w:after="0"/>
            </w:pPr>
            <w:r>
              <w:t>You can only allow the payment to be made in instalments if your funding strategy statement sets out your policy in this area.</w:t>
            </w:r>
          </w:p>
        </w:tc>
        <w:tc>
          <w:tcPr>
            <w:tcW w:w="1701" w:type="dxa"/>
          </w:tcPr>
          <w:p w14:paraId="461F0081" w14:textId="380A1830" w:rsidR="00D56EA7" w:rsidRDefault="00D56EA7" w:rsidP="00D56EA7">
            <w:pPr>
              <w:spacing w:before="0"/>
            </w:pPr>
            <w:r>
              <w:t xml:space="preserve">This may be something to include in the funding strategy statement – see </w:t>
            </w:r>
            <w:hyperlink w:anchor="_Note_8_–" w:history="1">
              <w:r>
                <w:rPr>
                  <w:rStyle w:val="Hyperlink"/>
                </w:rPr>
                <w:t>Note 5</w:t>
              </w:r>
            </w:hyperlink>
          </w:p>
        </w:tc>
        <w:tc>
          <w:tcPr>
            <w:tcW w:w="1843" w:type="dxa"/>
          </w:tcPr>
          <w:p w14:paraId="2E633B4B" w14:textId="183B8708" w:rsidR="00D56EA7" w:rsidRDefault="00D56EA7" w:rsidP="00D56EA7">
            <w:pPr>
              <w:spacing w:before="0"/>
            </w:pPr>
            <w:r>
              <w:t>61(10) and 61B of the 2018 Regulations</w:t>
            </w:r>
          </w:p>
        </w:tc>
      </w:tr>
      <w:tr w:rsidR="00D56EA7" w14:paraId="56EB49E4" w14:textId="77777777" w:rsidTr="00AF5D4D">
        <w:trPr>
          <w:cantSplit/>
        </w:trPr>
        <w:tc>
          <w:tcPr>
            <w:tcW w:w="704" w:type="dxa"/>
          </w:tcPr>
          <w:p w14:paraId="47628B7A" w14:textId="1A4759AF" w:rsidR="00D56EA7" w:rsidRDefault="00D56EA7" w:rsidP="00D56EA7">
            <w:pPr>
              <w:spacing w:before="0"/>
            </w:pPr>
            <w:r>
              <w:lastRenderedPageBreak/>
              <w:t>5</w:t>
            </w:r>
            <w:r w:rsidR="00EC0C94">
              <w:t>3</w:t>
            </w:r>
          </w:p>
        </w:tc>
        <w:tc>
          <w:tcPr>
            <w:tcW w:w="2126" w:type="dxa"/>
          </w:tcPr>
          <w:p w14:paraId="2A8D9E04" w14:textId="5FD1633B" w:rsidR="00D56EA7" w:rsidRPr="004A2F74" w:rsidRDefault="00D56EA7" w:rsidP="004A34E8">
            <w:pPr>
              <w:pStyle w:val="Heading3"/>
            </w:pPr>
            <w:bookmarkStart w:id="107" w:name="_Exiting_employer_2"/>
            <w:bookmarkEnd w:id="107"/>
            <w:r w:rsidRPr="004A2F74">
              <w:t>Exiting employer</w:t>
            </w:r>
          </w:p>
        </w:tc>
        <w:tc>
          <w:tcPr>
            <w:tcW w:w="3686" w:type="dxa"/>
          </w:tcPr>
          <w:p w14:paraId="7ED8B708" w14:textId="4FD3DD6A" w:rsidR="00D56EA7" w:rsidRDefault="00D56EA7" w:rsidP="00D56EA7">
            <w:pPr>
              <w:spacing w:before="0"/>
            </w:pPr>
            <w:r>
              <w:t>An employer who has become an exiting employer and there is a surplus.</w:t>
            </w:r>
          </w:p>
          <w:p w14:paraId="15F3B900" w14:textId="5AF29D9F" w:rsidR="00D56EA7" w:rsidRDefault="00D56EA7" w:rsidP="00D56EA7">
            <w:pPr>
              <w:spacing w:before="0"/>
            </w:pPr>
            <w:r>
              <w:t>Regulation 61(10) of the 2018 Regulations defines an ‘exiting employer’.</w:t>
            </w:r>
          </w:p>
        </w:tc>
        <w:tc>
          <w:tcPr>
            <w:tcW w:w="4819" w:type="dxa"/>
          </w:tcPr>
          <w:p w14:paraId="420CFBA8" w14:textId="7EE9B7D3" w:rsidR="00D56EA7" w:rsidRDefault="00D56EA7" w:rsidP="00D56EA7">
            <w:pPr>
              <w:spacing w:before="0"/>
            </w:pPr>
            <w:r>
              <w:t>Decide the amount of the exit credit. In doing so, the authority must consider the specified factors outlined in regulation 61(2F) of the 2018 Regulations.</w:t>
            </w:r>
          </w:p>
        </w:tc>
        <w:tc>
          <w:tcPr>
            <w:tcW w:w="1701" w:type="dxa"/>
          </w:tcPr>
          <w:p w14:paraId="071F40E3" w14:textId="2ACC6520" w:rsidR="00D56EA7" w:rsidRDefault="00D56EA7" w:rsidP="00D56EA7">
            <w:pPr>
              <w:spacing w:before="0" w:after="0"/>
            </w:pPr>
            <w:r>
              <w:t xml:space="preserve">SPPA recommends including this in the funding strategy statement – see </w:t>
            </w:r>
            <w:hyperlink w:anchor="_Note_8_–" w:history="1">
              <w:r>
                <w:rPr>
                  <w:rStyle w:val="Hyperlink"/>
                </w:rPr>
                <w:t>Note 5</w:t>
              </w:r>
            </w:hyperlink>
          </w:p>
        </w:tc>
        <w:tc>
          <w:tcPr>
            <w:tcW w:w="1843" w:type="dxa"/>
          </w:tcPr>
          <w:p w14:paraId="55090AAC" w14:textId="7386FE32" w:rsidR="00D56EA7" w:rsidRDefault="00D56EA7" w:rsidP="00D56EA7">
            <w:pPr>
              <w:spacing w:before="0"/>
            </w:pPr>
            <w:r>
              <w:t>61(2D) and (2F) of the 2018 Regulations.</w:t>
            </w:r>
          </w:p>
        </w:tc>
      </w:tr>
      <w:tr w:rsidR="00D56EA7" w14:paraId="07C3110B" w14:textId="77777777" w:rsidTr="00AF5D4D">
        <w:trPr>
          <w:cantSplit/>
        </w:trPr>
        <w:tc>
          <w:tcPr>
            <w:tcW w:w="704" w:type="dxa"/>
          </w:tcPr>
          <w:p w14:paraId="75551E77" w14:textId="78DAD332" w:rsidR="00D56EA7" w:rsidRDefault="00D56EA7" w:rsidP="00D56EA7">
            <w:pPr>
              <w:spacing w:before="0"/>
            </w:pPr>
            <w:r>
              <w:t>5</w:t>
            </w:r>
            <w:r w:rsidR="00EC0C94">
              <w:t>4</w:t>
            </w:r>
          </w:p>
        </w:tc>
        <w:tc>
          <w:tcPr>
            <w:tcW w:w="2126" w:type="dxa"/>
          </w:tcPr>
          <w:p w14:paraId="7B0F7ED2" w14:textId="00C6834E" w:rsidR="00D56EA7" w:rsidRPr="00DF1997" w:rsidRDefault="00D56EA7" w:rsidP="004A34E8">
            <w:pPr>
              <w:pStyle w:val="Heading3"/>
            </w:pPr>
            <w:bookmarkStart w:id="108" w:name="_Exiting_employer_3"/>
            <w:bookmarkStart w:id="109" w:name="_Toc177712020"/>
            <w:bookmarkEnd w:id="108"/>
            <w:r w:rsidRPr="00DF1997">
              <w:t>Exiting employer</w:t>
            </w:r>
            <w:bookmarkEnd w:id="109"/>
          </w:p>
        </w:tc>
        <w:tc>
          <w:tcPr>
            <w:tcW w:w="3686" w:type="dxa"/>
          </w:tcPr>
          <w:p w14:paraId="2B63EFBC" w14:textId="5F173212" w:rsidR="00D56EA7" w:rsidRDefault="00D56EA7" w:rsidP="00D56EA7">
            <w:pPr>
              <w:spacing w:before="0"/>
            </w:pPr>
            <w:r>
              <w:t>An employer for whom circumstances, in the administering authority’s opinion, suggest it is likely to become an exiting employer.</w:t>
            </w:r>
          </w:p>
          <w:p w14:paraId="1C8130C8" w14:textId="0F21FE75" w:rsidR="00D56EA7" w:rsidRDefault="00D56EA7" w:rsidP="00D56EA7">
            <w:pPr>
              <w:spacing w:before="0" w:after="0"/>
            </w:pPr>
            <w:r>
              <w:t>Regulation 61(10) of the 2018 Regulations defines ‘exiting employer’.</w:t>
            </w:r>
          </w:p>
        </w:tc>
        <w:tc>
          <w:tcPr>
            <w:tcW w:w="4819" w:type="dxa"/>
          </w:tcPr>
          <w:p w14:paraId="1A74BFC8" w14:textId="71A6CD5D" w:rsidR="00D56EA7" w:rsidRDefault="00D56EA7" w:rsidP="00D56EA7">
            <w:pPr>
              <w:spacing w:before="0"/>
            </w:pPr>
            <w:r>
              <w:t>Decide whether to obtain a revised rates and adjustment certificate from an actuary.</w:t>
            </w:r>
          </w:p>
          <w:p w14:paraId="2339311D" w14:textId="5C2FB9F6" w:rsidR="00D56EA7" w:rsidRDefault="00D56EA7" w:rsidP="00D56EA7">
            <w:pPr>
              <w:spacing w:before="0"/>
            </w:pPr>
            <w:r>
              <w:t>If so, where the employer is unable to meet the exit payment by the likely exit date, decide the period you consider reasonable thereafter for the employer to meet the exit payment.</w:t>
            </w:r>
          </w:p>
        </w:tc>
        <w:tc>
          <w:tcPr>
            <w:tcW w:w="1701" w:type="dxa"/>
          </w:tcPr>
          <w:p w14:paraId="641DF1CF" w14:textId="01491E51" w:rsidR="00D56EA7" w:rsidRDefault="00D56EA7" w:rsidP="00D56EA7">
            <w:pPr>
              <w:spacing w:before="0"/>
            </w:pPr>
            <w:r>
              <w:t xml:space="preserve">This may be something to include in the funding strategy statement – see </w:t>
            </w:r>
            <w:hyperlink w:anchor="_Note_8_–" w:history="1">
              <w:r>
                <w:rPr>
                  <w:rStyle w:val="Hyperlink"/>
                </w:rPr>
                <w:t>Note 5</w:t>
              </w:r>
            </w:hyperlink>
          </w:p>
        </w:tc>
        <w:tc>
          <w:tcPr>
            <w:tcW w:w="1843" w:type="dxa"/>
          </w:tcPr>
          <w:p w14:paraId="6BD28EF4" w14:textId="61AD60E5" w:rsidR="00D56EA7" w:rsidRDefault="00D56EA7" w:rsidP="00D56EA7">
            <w:pPr>
              <w:spacing w:before="0"/>
            </w:pPr>
            <w:r>
              <w:t>61(6) of the 2018 Regulations</w:t>
            </w:r>
          </w:p>
        </w:tc>
      </w:tr>
      <w:tr w:rsidR="00D56EA7" w14:paraId="1C46CC32" w14:textId="77777777" w:rsidTr="00AF5D4D">
        <w:trPr>
          <w:cantSplit/>
        </w:trPr>
        <w:tc>
          <w:tcPr>
            <w:tcW w:w="704" w:type="dxa"/>
          </w:tcPr>
          <w:p w14:paraId="1DED13A3" w14:textId="5B7851A7" w:rsidR="00D56EA7" w:rsidRDefault="00D56EA7" w:rsidP="00D56EA7">
            <w:pPr>
              <w:spacing w:before="0"/>
            </w:pPr>
            <w:r>
              <w:lastRenderedPageBreak/>
              <w:t>5</w:t>
            </w:r>
            <w:r w:rsidR="00EC0C94">
              <w:t>5</w:t>
            </w:r>
          </w:p>
        </w:tc>
        <w:tc>
          <w:tcPr>
            <w:tcW w:w="2126" w:type="dxa"/>
          </w:tcPr>
          <w:p w14:paraId="66BBC704" w14:textId="5AA7F078" w:rsidR="00D56EA7" w:rsidRPr="00427E90" w:rsidRDefault="00D56EA7" w:rsidP="004A34E8">
            <w:pPr>
              <w:pStyle w:val="Heading3"/>
            </w:pPr>
            <w:bookmarkStart w:id="110" w:name="_Exiting_employer_4"/>
            <w:bookmarkStart w:id="111" w:name="_Toc177712021"/>
            <w:bookmarkEnd w:id="110"/>
            <w:r w:rsidRPr="00427E90">
              <w:t>Exiting employer</w:t>
            </w:r>
            <w:bookmarkEnd w:id="111"/>
          </w:p>
        </w:tc>
        <w:tc>
          <w:tcPr>
            <w:tcW w:w="3686" w:type="dxa"/>
          </w:tcPr>
          <w:p w14:paraId="05A78DF9" w14:textId="4065C0A7" w:rsidR="00D56EA7" w:rsidRDefault="00D56EA7" w:rsidP="00D56EA7">
            <w:pPr>
              <w:spacing w:before="0"/>
            </w:pPr>
            <w:r>
              <w:t>An employer who:</w:t>
            </w:r>
          </w:p>
          <w:p w14:paraId="6087E242" w14:textId="55F39409" w:rsidR="00D56EA7" w:rsidRDefault="00D56EA7" w:rsidP="00D56EA7">
            <w:pPr>
              <w:pStyle w:val="ListBullet"/>
            </w:pPr>
            <w:r>
              <w:t xml:space="preserve">was a </w:t>
            </w:r>
            <w:r w:rsidR="005D1B1C">
              <w:t>Scheme</w:t>
            </w:r>
            <w:r>
              <w:t xml:space="preserve"> employer in the relevant fund</w:t>
            </w:r>
          </w:p>
          <w:p w14:paraId="2D8B3E4C" w14:textId="528C550E" w:rsidR="00D56EA7" w:rsidRDefault="00D56EA7" w:rsidP="00D56EA7">
            <w:pPr>
              <w:pStyle w:val="ListBullet"/>
            </w:pPr>
            <w:r>
              <w:t xml:space="preserve">has outstanding liabilities to the relevant fund for any person entitled to </w:t>
            </w:r>
            <w:r w:rsidR="00AF1B4E">
              <w:t>LGPS</w:t>
            </w:r>
            <w:r>
              <w:t xml:space="preserve"> benefits</w:t>
            </w:r>
          </w:p>
          <w:p w14:paraId="61CA4CCD" w14:textId="02D08E99" w:rsidR="00D56EA7" w:rsidRDefault="00D56EA7" w:rsidP="00D56EA7">
            <w:pPr>
              <w:pStyle w:val="ListBullet"/>
            </w:pPr>
            <w:r>
              <w:t>does not employ any active members in the relevant fund, and</w:t>
            </w:r>
          </w:p>
          <w:p w14:paraId="4CCEDA2A" w14:textId="012BB23A" w:rsidR="00D56EA7" w:rsidRDefault="00D56EA7" w:rsidP="00D56EA7">
            <w:pPr>
              <w:pStyle w:val="ListBullet"/>
            </w:pPr>
            <w:r>
              <w:t xml:space="preserve">has not paid to the relevant fund an exit payment under regulation 61 of the 2018 </w:t>
            </w:r>
            <w:r>
              <w:br/>
            </w:r>
            <w:r w:rsidR="00AF1B4E">
              <w:t>LGPS</w:t>
            </w:r>
            <w:r>
              <w:t xml:space="preserve"> Regulations or an equivalent payment under any earlier regulations.</w:t>
            </w:r>
          </w:p>
        </w:tc>
        <w:tc>
          <w:tcPr>
            <w:tcW w:w="4819" w:type="dxa"/>
          </w:tcPr>
          <w:p w14:paraId="3514A2A9" w14:textId="492BF7EA" w:rsidR="00D56EA7" w:rsidRDefault="00D56EA7" w:rsidP="00D56EA7">
            <w:pPr>
              <w:spacing w:before="0"/>
            </w:pPr>
            <w:r>
              <w:t>Decide whether to require the employer to make payments certified by an actuary to meet the outstanding liabilities.</w:t>
            </w:r>
          </w:p>
          <w:p w14:paraId="369464CF" w14:textId="5402C722" w:rsidR="00D56EA7" w:rsidRDefault="00D56EA7" w:rsidP="00D56EA7">
            <w:pPr>
              <w:spacing w:before="0"/>
            </w:pPr>
            <w:r>
              <w:t>If so, decide the period over which you consider reasonable for the payments to be made.</w:t>
            </w:r>
          </w:p>
        </w:tc>
        <w:tc>
          <w:tcPr>
            <w:tcW w:w="1701" w:type="dxa"/>
          </w:tcPr>
          <w:p w14:paraId="75EC3416" w14:textId="6E9863F1" w:rsidR="00D56EA7" w:rsidRDefault="00D56EA7" w:rsidP="00D56EA7">
            <w:pPr>
              <w:spacing w:before="0"/>
            </w:pPr>
            <w:r>
              <w:t xml:space="preserve">This may be something to include in the funding strategy statement – see </w:t>
            </w:r>
            <w:hyperlink w:anchor="_Note_8_–" w:history="1">
              <w:r>
                <w:rPr>
                  <w:rStyle w:val="Hyperlink"/>
                </w:rPr>
                <w:t>Note 5</w:t>
              </w:r>
            </w:hyperlink>
          </w:p>
        </w:tc>
        <w:tc>
          <w:tcPr>
            <w:tcW w:w="1843" w:type="dxa"/>
          </w:tcPr>
          <w:p w14:paraId="01971680" w14:textId="618CD485" w:rsidR="00D56EA7" w:rsidRDefault="00D56EA7" w:rsidP="00D56EA7">
            <w:pPr>
              <w:spacing w:before="0"/>
            </w:pPr>
            <w:r>
              <w:t>25A of the 2014 Transitional Regulations</w:t>
            </w:r>
          </w:p>
        </w:tc>
      </w:tr>
      <w:tr w:rsidR="00D56EA7" w14:paraId="245734B2" w14:textId="77777777" w:rsidTr="00AF5D4D">
        <w:trPr>
          <w:cantSplit/>
        </w:trPr>
        <w:tc>
          <w:tcPr>
            <w:tcW w:w="704" w:type="dxa"/>
          </w:tcPr>
          <w:p w14:paraId="6AC3E4DA" w14:textId="2C4D3B8E" w:rsidR="00D56EA7" w:rsidRDefault="00D56EA7" w:rsidP="00D56EA7">
            <w:pPr>
              <w:spacing w:before="0"/>
            </w:pPr>
            <w:r>
              <w:t>5</w:t>
            </w:r>
            <w:r w:rsidR="00EC0C94">
              <w:t>6</w:t>
            </w:r>
          </w:p>
        </w:tc>
        <w:tc>
          <w:tcPr>
            <w:tcW w:w="2126" w:type="dxa"/>
          </w:tcPr>
          <w:p w14:paraId="195DB630" w14:textId="7CE4CC6C" w:rsidR="00D56EA7" w:rsidRPr="005D703C" w:rsidRDefault="00D56EA7" w:rsidP="004A34E8">
            <w:pPr>
              <w:pStyle w:val="Heading3"/>
            </w:pPr>
            <w:bookmarkStart w:id="112" w:name="_Funding_strategy"/>
            <w:bookmarkEnd w:id="112"/>
            <w:r w:rsidRPr="005D703C">
              <w:t>Funding strategy</w:t>
            </w:r>
          </w:p>
        </w:tc>
        <w:tc>
          <w:tcPr>
            <w:tcW w:w="3686" w:type="dxa"/>
          </w:tcPr>
          <w:p w14:paraId="3B231F89" w14:textId="2399A49E" w:rsidR="00D56EA7" w:rsidRDefault="00D56EA7" w:rsidP="00D56EA7">
            <w:pPr>
              <w:spacing w:before="0"/>
            </w:pPr>
            <w:r>
              <w:t>All members</w:t>
            </w:r>
          </w:p>
        </w:tc>
        <w:tc>
          <w:tcPr>
            <w:tcW w:w="4819" w:type="dxa"/>
          </w:tcPr>
          <w:p w14:paraId="4D7DAB47" w14:textId="26E80697" w:rsidR="00D56EA7" w:rsidRDefault="00D56EA7" w:rsidP="00D56EA7">
            <w:pPr>
              <w:spacing w:before="0"/>
            </w:pPr>
            <w:r>
              <w:t>Decide your funding strategy.</w:t>
            </w:r>
          </w:p>
        </w:tc>
        <w:tc>
          <w:tcPr>
            <w:tcW w:w="1701" w:type="dxa"/>
          </w:tcPr>
          <w:p w14:paraId="2D67A161" w14:textId="77777777" w:rsidR="00D56EA7" w:rsidRDefault="00D56EA7" w:rsidP="00D56EA7">
            <w:pPr>
              <w:spacing w:before="0"/>
            </w:pPr>
            <w:r>
              <w:t>Yes</w:t>
            </w:r>
          </w:p>
          <w:p w14:paraId="69209AD5" w14:textId="772DEC70" w:rsidR="00D56EA7" w:rsidRPr="00F20255" w:rsidRDefault="00D56EA7" w:rsidP="00D56EA7">
            <w:pPr>
              <w:spacing w:before="0" w:after="0"/>
            </w:pPr>
            <w:r>
              <w:t xml:space="preserve">See </w:t>
            </w:r>
            <w:hyperlink w:anchor="_Note_8_–" w:history="1">
              <w:r>
                <w:rPr>
                  <w:rStyle w:val="Hyperlink"/>
                </w:rPr>
                <w:t>Note 5</w:t>
              </w:r>
            </w:hyperlink>
          </w:p>
        </w:tc>
        <w:tc>
          <w:tcPr>
            <w:tcW w:w="1843" w:type="dxa"/>
          </w:tcPr>
          <w:p w14:paraId="22E0C7A1" w14:textId="0E0F0A48" w:rsidR="00D56EA7" w:rsidRDefault="00D56EA7" w:rsidP="00D56EA7">
            <w:pPr>
              <w:spacing w:before="0"/>
            </w:pPr>
            <w:r>
              <w:t>56 of the 2018 Regulations</w:t>
            </w:r>
          </w:p>
        </w:tc>
      </w:tr>
      <w:tr w:rsidR="00D56EA7" w14:paraId="40FCF9A1" w14:textId="77777777" w:rsidTr="00AF5D4D">
        <w:trPr>
          <w:cantSplit/>
        </w:trPr>
        <w:tc>
          <w:tcPr>
            <w:tcW w:w="704" w:type="dxa"/>
          </w:tcPr>
          <w:p w14:paraId="7B60A739" w14:textId="56205F5C" w:rsidR="00D56EA7" w:rsidRDefault="00D56EA7" w:rsidP="00D56EA7">
            <w:pPr>
              <w:spacing w:before="0"/>
            </w:pPr>
            <w:r>
              <w:lastRenderedPageBreak/>
              <w:t>5</w:t>
            </w:r>
            <w:r w:rsidR="00EC0C94">
              <w:t>7</w:t>
            </w:r>
          </w:p>
        </w:tc>
        <w:tc>
          <w:tcPr>
            <w:tcW w:w="2126" w:type="dxa"/>
          </w:tcPr>
          <w:p w14:paraId="47576B1B" w14:textId="515C7284" w:rsidR="00D56EA7" w:rsidRPr="003F1521" w:rsidRDefault="00D56EA7" w:rsidP="004A34E8">
            <w:pPr>
              <w:pStyle w:val="Heading3"/>
            </w:pPr>
            <w:bookmarkStart w:id="113" w:name="_Fund_substitution"/>
            <w:bookmarkEnd w:id="113"/>
            <w:r w:rsidRPr="003F1521">
              <w:t>Fund substitution</w:t>
            </w:r>
          </w:p>
        </w:tc>
        <w:tc>
          <w:tcPr>
            <w:tcW w:w="3686" w:type="dxa"/>
          </w:tcPr>
          <w:p w14:paraId="7FB4BCDA" w14:textId="7CE48DFF" w:rsidR="00D56EA7" w:rsidRDefault="00D56EA7" w:rsidP="00D56EA7">
            <w:pPr>
              <w:spacing w:before="0"/>
            </w:pPr>
            <w:r>
              <w:t xml:space="preserve">A </w:t>
            </w:r>
            <w:r w:rsidR="00AF1B4E">
              <w:t>LGPS</w:t>
            </w:r>
            <w:r>
              <w:t xml:space="preserve"> employer in a different </w:t>
            </w:r>
            <w:r>
              <w:br/>
            </w:r>
            <w:r w:rsidR="00AF1B4E">
              <w:t>LGPS</w:t>
            </w:r>
            <w:r>
              <w:t xml:space="preserve"> fund.</w:t>
            </w:r>
          </w:p>
        </w:tc>
        <w:tc>
          <w:tcPr>
            <w:tcW w:w="4819" w:type="dxa"/>
          </w:tcPr>
          <w:p w14:paraId="53BDF36D" w14:textId="2E8B5672" w:rsidR="00D56EA7" w:rsidRDefault="00D56EA7" w:rsidP="00D56EA7">
            <w:pPr>
              <w:spacing w:before="0"/>
            </w:pPr>
            <w:r>
              <w:t>Decide whether to apply to Scottish Ministers for a written direction to change the employer’s relevant fund to the authority’s.</w:t>
            </w:r>
          </w:p>
        </w:tc>
        <w:tc>
          <w:tcPr>
            <w:tcW w:w="1701" w:type="dxa"/>
          </w:tcPr>
          <w:p w14:paraId="4E2605E8" w14:textId="77777777" w:rsidR="00D56EA7" w:rsidRDefault="00D56EA7" w:rsidP="00D56EA7">
            <w:pPr>
              <w:spacing w:before="0"/>
            </w:pPr>
            <w:r>
              <w:t>No</w:t>
            </w:r>
          </w:p>
          <w:p w14:paraId="39307CBB" w14:textId="15508C60"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142DED80" w14:textId="09555C90" w:rsidR="00D56EA7" w:rsidRDefault="00D56EA7" w:rsidP="00D56EA7">
            <w:pPr>
              <w:spacing w:before="0" w:after="0"/>
            </w:pPr>
            <w:r>
              <w:t>Paragraph 2A of part 1 of schedule 4 to the 2018 Regulations</w:t>
            </w:r>
          </w:p>
        </w:tc>
      </w:tr>
      <w:tr w:rsidR="00D56EA7" w14:paraId="6C362FA3" w14:textId="77777777" w:rsidTr="00AF5D4D">
        <w:trPr>
          <w:cantSplit/>
        </w:trPr>
        <w:tc>
          <w:tcPr>
            <w:tcW w:w="704" w:type="dxa"/>
          </w:tcPr>
          <w:p w14:paraId="319E5D42" w14:textId="502D16DF" w:rsidR="00D56EA7" w:rsidRDefault="00D56EA7" w:rsidP="00D56EA7">
            <w:pPr>
              <w:spacing w:before="0"/>
            </w:pPr>
            <w:r>
              <w:t>5</w:t>
            </w:r>
            <w:r w:rsidR="00EC0C94">
              <w:t>8</w:t>
            </w:r>
          </w:p>
        </w:tc>
        <w:tc>
          <w:tcPr>
            <w:tcW w:w="2126" w:type="dxa"/>
          </w:tcPr>
          <w:p w14:paraId="53F5CFC9" w14:textId="20B74352" w:rsidR="00D56EA7" w:rsidRPr="00812BA2" w:rsidRDefault="00D56EA7" w:rsidP="004A34E8">
            <w:pPr>
              <w:pStyle w:val="Heading3"/>
            </w:pPr>
            <w:bookmarkStart w:id="114" w:name="_Governance_compliance_statement"/>
            <w:bookmarkEnd w:id="114"/>
            <w:r w:rsidRPr="00812BA2">
              <w:t>Governance compliance statement</w:t>
            </w:r>
          </w:p>
        </w:tc>
        <w:tc>
          <w:tcPr>
            <w:tcW w:w="3686" w:type="dxa"/>
          </w:tcPr>
          <w:p w14:paraId="18312DF6" w14:textId="52143CF9" w:rsidR="00D56EA7" w:rsidRDefault="00D56EA7" w:rsidP="00D56EA7">
            <w:pPr>
              <w:spacing w:before="0"/>
            </w:pPr>
            <w:r>
              <w:t>All members</w:t>
            </w:r>
          </w:p>
        </w:tc>
        <w:tc>
          <w:tcPr>
            <w:tcW w:w="4819" w:type="dxa"/>
          </w:tcPr>
          <w:p w14:paraId="31BCE4F9" w14:textId="7B476459" w:rsidR="00D56EA7" w:rsidRDefault="00D56EA7" w:rsidP="00D56EA7">
            <w:pPr>
              <w:spacing w:before="0" w:after="0"/>
            </w:pPr>
            <w:r>
              <w:t>Decide whether to delegate your pension functions, or part of them, to a committee, sub-committee or an officer of the authority.</w:t>
            </w:r>
          </w:p>
        </w:tc>
        <w:tc>
          <w:tcPr>
            <w:tcW w:w="1701" w:type="dxa"/>
          </w:tcPr>
          <w:p w14:paraId="018D667D" w14:textId="77777777" w:rsidR="00D56EA7" w:rsidRDefault="00D56EA7" w:rsidP="00D56EA7">
            <w:pPr>
              <w:spacing w:before="0"/>
            </w:pPr>
            <w:r>
              <w:t>Yes</w:t>
            </w:r>
          </w:p>
          <w:p w14:paraId="36A8FD8C" w14:textId="1CC435CC" w:rsidR="00D56EA7" w:rsidRDefault="00D56EA7" w:rsidP="00D56EA7">
            <w:pPr>
              <w:spacing w:before="0"/>
            </w:pPr>
            <w:r>
              <w:t xml:space="preserve">See </w:t>
            </w:r>
            <w:hyperlink w:anchor="_Note_9_–" w:history="1">
              <w:r>
                <w:rPr>
                  <w:rStyle w:val="Hyperlink"/>
                </w:rPr>
                <w:t>Note 6</w:t>
              </w:r>
            </w:hyperlink>
          </w:p>
        </w:tc>
        <w:tc>
          <w:tcPr>
            <w:tcW w:w="1843" w:type="dxa"/>
          </w:tcPr>
          <w:p w14:paraId="0C13BC94" w14:textId="093FA7E3" w:rsidR="00D56EA7" w:rsidRDefault="00D56EA7" w:rsidP="00D56EA7">
            <w:pPr>
              <w:spacing w:before="0"/>
            </w:pPr>
            <w:r>
              <w:t>53 of the 2018 Regulations</w:t>
            </w:r>
          </w:p>
        </w:tc>
      </w:tr>
      <w:tr w:rsidR="00D56EA7" w14:paraId="2D36218C" w14:textId="77777777" w:rsidTr="00AF5D4D">
        <w:trPr>
          <w:cantSplit/>
        </w:trPr>
        <w:tc>
          <w:tcPr>
            <w:tcW w:w="704" w:type="dxa"/>
          </w:tcPr>
          <w:p w14:paraId="57A24C5F" w14:textId="003CB0EC" w:rsidR="00D56EA7" w:rsidRDefault="00D56EA7" w:rsidP="00D56EA7">
            <w:pPr>
              <w:spacing w:before="0"/>
            </w:pPr>
            <w:r>
              <w:lastRenderedPageBreak/>
              <w:t>5</w:t>
            </w:r>
            <w:r w:rsidR="00EC0C94">
              <w:t>9</w:t>
            </w:r>
          </w:p>
        </w:tc>
        <w:tc>
          <w:tcPr>
            <w:tcW w:w="2126" w:type="dxa"/>
          </w:tcPr>
          <w:p w14:paraId="0858B3C7" w14:textId="07D4C6A9" w:rsidR="00D56EA7" w:rsidRPr="00925BDD" w:rsidRDefault="00D56EA7" w:rsidP="004A34E8">
            <w:pPr>
              <w:pStyle w:val="Heading3"/>
            </w:pPr>
            <w:bookmarkStart w:id="115" w:name="_McCloud_compensation"/>
            <w:bookmarkEnd w:id="115"/>
            <w:r w:rsidRPr="00925BDD">
              <w:t>McCloud compensation</w:t>
            </w:r>
          </w:p>
        </w:tc>
        <w:tc>
          <w:tcPr>
            <w:tcW w:w="3686" w:type="dxa"/>
          </w:tcPr>
          <w:p w14:paraId="4DF595E9" w14:textId="3E0756D3" w:rsidR="00D56EA7" w:rsidRDefault="00D56EA7" w:rsidP="00D56EA7">
            <w:pPr>
              <w:spacing w:before="0"/>
            </w:pPr>
            <w:r>
              <w:t>A member who has incurred a compensatable loss that is a Part 4 tax loss and has applied for compensation.</w:t>
            </w:r>
          </w:p>
        </w:tc>
        <w:tc>
          <w:tcPr>
            <w:tcW w:w="4819" w:type="dxa"/>
          </w:tcPr>
          <w:p w14:paraId="6E092D0D" w14:textId="77777777" w:rsidR="00D56EA7" w:rsidRDefault="00D56EA7" w:rsidP="00D56EA7">
            <w:pPr>
              <w:spacing w:before="0"/>
            </w:pPr>
            <w:r>
              <w:t>Decide whether to pay indirect compensation.</w:t>
            </w:r>
          </w:p>
          <w:p w14:paraId="59A52133" w14:textId="2B9E33E9" w:rsidR="00D56EA7" w:rsidRDefault="00D56EA7" w:rsidP="00D56EA7">
            <w:pPr>
              <w:spacing w:before="0"/>
            </w:pPr>
            <w:r>
              <w:t>When exercising this power, you must comply with the requirements in direction 33(1) of the Public Service Pensions (Exercise of Powers, Compensation and Information) Directions 2022.</w:t>
            </w:r>
          </w:p>
          <w:p w14:paraId="6184E375" w14:textId="6CFBDE6D" w:rsidR="00D56EA7" w:rsidRDefault="00D56EA7" w:rsidP="00D56EA7">
            <w:pPr>
              <w:spacing w:before="0" w:after="0"/>
            </w:pPr>
            <w:r>
              <w:t xml:space="preserve">For more information on McCloud compensation, refer to the McCloud implementation statutory guidance available on the </w:t>
            </w:r>
            <w:hyperlink r:id="rId17" w:history="1">
              <w:r w:rsidRPr="00662AE4">
                <w:rPr>
                  <w:rStyle w:val="Hyperlink"/>
                </w:rPr>
                <w:t>Administrator guides and documents</w:t>
              </w:r>
            </w:hyperlink>
            <w:r>
              <w:t xml:space="preserve"> page of </w:t>
            </w:r>
            <w:hyperlink r:id="rId18" w:history="1">
              <w:r w:rsidRPr="007F75B1">
                <w:rPr>
                  <w:rStyle w:val="Hyperlink"/>
                </w:rPr>
                <w:t>www.scotlgpsregs.org</w:t>
              </w:r>
            </w:hyperlink>
            <w:r>
              <w:t>.</w:t>
            </w:r>
          </w:p>
        </w:tc>
        <w:tc>
          <w:tcPr>
            <w:tcW w:w="1701" w:type="dxa"/>
          </w:tcPr>
          <w:p w14:paraId="40D68FD2" w14:textId="77777777" w:rsidR="00D56EA7" w:rsidRDefault="00D56EA7" w:rsidP="00D56EA7">
            <w:pPr>
              <w:spacing w:before="0"/>
            </w:pPr>
            <w:r>
              <w:t>No</w:t>
            </w:r>
          </w:p>
          <w:p w14:paraId="4216FB36" w14:textId="02583685"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06B01C30" w14:textId="10191C1B" w:rsidR="00D56EA7" w:rsidRDefault="00D56EA7" w:rsidP="00D56EA7">
            <w:pPr>
              <w:spacing w:before="0"/>
            </w:pPr>
            <w:r>
              <w:t>4Q and 4R of the 2014 Transitional Regulations</w:t>
            </w:r>
          </w:p>
        </w:tc>
      </w:tr>
      <w:tr w:rsidR="00D56EA7" w14:paraId="1101200E" w14:textId="77777777" w:rsidTr="00AF5D4D">
        <w:trPr>
          <w:cantSplit/>
        </w:trPr>
        <w:tc>
          <w:tcPr>
            <w:tcW w:w="704" w:type="dxa"/>
          </w:tcPr>
          <w:p w14:paraId="0742AF2D" w14:textId="10BCDDC5" w:rsidR="00D56EA7" w:rsidRDefault="00EC0C94" w:rsidP="00D56EA7">
            <w:pPr>
              <w:spacing w:before="0"/>
            </w:pPr>
            <w:r>
              <w:lastRenderedPageBreak/>
              <w:t>60</w:t>
            </w:r>
          </w:p>
        </w:tc>
        <w:tc>
          <w:tcPr>
            <w:tcW w:w="2126" w:type="dxa"/>
          </w:tcPr>
          <w:p w14:paraId="24470D11" w14:textId="41066751" w:rsidR="00D56EA7" w:rsidRPr="00DE474C" w:rsidRDefault="00D56EA7" w:rsidP="004A34E8">
            <w:pPr>
              <w:pStyle w:val="Heading3"/>
            </w:pPr>
            <w:bookmarkStart w:id="116" w:name="_McCloud_compensation_1"/>
            <w:bookmarkStart w:id="117" w:name="_Toc177712029"/>
            <w:bookmarkEnd w:id="116"/>
            <w:r w:rsidRPr="00DE474C">
              <w:t>McCloud compensation</w:t>
            </w:r>
            <w:bookmarkEnd w:id="117"/>
          </w:p>
        </w:tc>
        <w:tc>
          <w:tcPr>
            <w:tcW w:w="3686" w:type="dxa"/>
          </w:tcPr>
          <w:p w14:paraId="1ABFAA32" w14:textId="1A27167E" w:rsidR="00D56EA7" w:rsidRDefault="00D56EA7" w:rsidP="00D56EA7">
            <w:pPr>
              <w:pStyle w:val="ListBullet"/>
            </w:pPr>
            <w:r>
              <w:t>A member who has incurred a compensatable loss and has applied for direct compensation, or,</w:t>
            </w:r>
          </w:p>
          <w:p w14:paraId="54CD1619" w14:textId="3BE46579" w:rsidR="00D56EA7" w:rsidRDefault="00D56EA7" w:rsidP="00D56EA7">
            <w:pPr>
              <w:pStyle w:val="ListBullet"/>
            </w:pPr>
            <w:r>
              <w:t>in the case of a deceased member, the personal representative has incurred a compensatable loss and has applied for direct compensation.</w:t>
            </w:r>
          </w:p>
        </w:tc>
        <w:tc>
          <w:tcPr>
            <w:tcW w:w="4819" w:type="dxa"/>
          </w:tcPr>
          <w:p w14:paraId="16181447" w14:textId="7AF409AC" w:rsidR="00D56EA7" w:rsidRDefault="00D56EA7" w:rsidP="00D56EA7">
            <w:pPr>
              <w:spacing w:before="0"/>
            </w:pPr>
            <w:r>
              <w:t>Decide whether to pay direct compensation.</w:t>
            </w:r>
          </w:p>
          <w:p w14:paraId="0BE087B9" w14:textId="79ED1BDF" w:rsidR="00D56EA7" w:rsidRDefault="00D56EA7" w:rsidP="00D56EA7">
            <w:pPr>
              <w:spacing w:before="0"/>
            </w:pPr>
            <w:r>
              <w:t>When exercising this power, you must comply with the requirements in direction 33(1) of the Public Service Pensions (Exercise of Powers, Compensation and Information) Directions 2022.</w:t>
            </w:r>
          </w:p>
          <w:p w14:paraId="5AD59D83" w14:textId="70E94A50" w:rsidR="00D56EA7" w:rsidRDefault="00D56EA7" w:rsidP="00D56EA7">
            <w:pPr>
              <w:spacing w:before="0" w:after="0"/>
            </w:pPr>
            <w:r>
              <w:t xml:space="preserve">For more information on McCloud compensation, refer to the McCloud implementation statutory guidance available on the </w:t>
            </w:r>
            <w:hyperlink r:id="rId19" w:history="1">
              <w:r w:rsidRPr="00662AE4">
                <w:rPr>
                  <w:rStyle w:val="Hyperlink"/>
                </w:rPr>
                <w:t>Administrator guides and documents</w:t>
              </w:r>
            </w:hyperlink>
            <w:r>
              <w:t xml:space="preserve"> page of </w:t>
            </w:r>
            <w:hyperlink r:id="rId20" w:history="1">
              <w:r w:rsidRPr="007F75B1">
                <w:rPr>
                  <w:rStyle w:val="Hyperlink"/>
                </w:rPr>
                <w:t>www.scotlgpsregs.org</w:t>
              </w:r>
            </w:hyperlink>
            <w:r>
              <w:t>.</w:t>
            </w:r>
          </w:p>
        </w:tc>
        <w:tc>
          <w:tcPr>
            <w:tcW w:w="1701" w:type="dxa"/>
          </w:tcPr>
          <w:p w14:paraId="240AF507" w14:textId="77777777" w:rsidR="00D56EA7" w:rsidRDefault="00D56EA7" w:rsidP="00D56EA7">
            <w:pPr>
              <w:spacing w:before="0"/>
            </w:pPr>
            <w:r>
              <w:t>No</w:t>
            </w:r>
          </w:p>
          <w:p w14:paraId="5008A206" w14:textId="5366CFB4"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7620DF34" w14:textId="38951399" w:rsidR="00D56EA7" w:rsidRDefault="00D56EA7" w:rsidP="00D56EA7">
            <w:pPr>
              <w:spacing w:before="0"/>
            </w:pPr>
            <w:r>
              <w:t>4R and 4S of the 2014 Transitional Regulations</w:t>
            </w:r>
          </w:p>
          <w:p w14:paraId="763CAE8C" w14:textId="0F2AC053" w:rsidR="00D56EA7" w:rsidRDefault="00D56EA7" w:rsidP="00D56EA7">
            <w:pPr>
              <w:spacing w:before="0"/>
            </w:pPr>
            <w:r>
              <w:t>Section 82 of the Public Service Pensions and Judicial Offices Act 2022</w:t>
            </w:r>
          </w:p>
        </w:tc>
      </w:tr>
      <w:tr w:rsidR="00D56EA7" w14:paraId="1F75C75D" w14:textId="77777777" w:rsidTr="00AF5D4D">
        <w:trPr>
          <w:cantSplit/>
        </w:trPr>
        <w:tc>
          <w:tcPr>
            <w:tcW w:w="704" w:type="dxa"/>
          </w:tcPr>
          <w:p w14:paraId="0973AEB7" w14:textId="12A72C66" w:rsidR="00D56EA7" w:rsidRDefault="00EC0C94" w:rsidP="00D56EA7">
            <w:pPr>
              <w:spacing w:before="0"/>
            </w:pPr>
            <w:r>
              <w:t>61</w:t>
            </w:r>
          </w:p>
        </w:tc>
        <w:tc>
          <w:tcPr>
            <w:tcW w:w="2126" w:type="dxa"/>
          </w:tcPr>
          <w:p w14:paraId="1BBFAE44" w14:textId="7D4CE17F" w:rsidR="00D56EA7" w:rsidRPr="000B7107" w:rsidRDefault="00D56EA7" w:rsidP="004A34E8">
            <w:pPr>
              <w:pStyle w:val="Heading3"/>
            </w:pPr>
            <w:bookmarkStart w:id="118" w:name="_Pension_administration_strategy"/>
            <w:bookmarkEnd w:id="118"/>
            <w:r w:rsidRPr="000B7107">
              <w:t>Pension administration strategy</w:t>
            </w:r>
          </w:p>
        </w:tc>
        <w:tc>
          <w:tcPr>
            <w:tcW w:w="3686" w:type="dxa"/>
          </w:tcPr>
          <w:p w14:paraId="238D1A41" w14:textId="38F742CB" w:rsidR="00D56EA7" w:rsidRDefault="00D56EA7" w:rsidP="00D56EA7">
            <w:pPr>
              <w:spacing w:before="0"/>
            </w:pPr>
            <w:r>
              <w:t>All members</w:t>
            </w:r>
          </w:p>
        </w:tc>
        <w:tc>
          <w:tcPr>
            <w:tcW w:w="4819" w:type="dxa"/>
          </w:tcPr>
          <w:p w14:paraId="77350840" w14:textId="47706712" w:rsidR="00D56EA7" w:rsidRDefault="00D56EA7" w:rsidP="00D56EA7">
            <w:pPr>
              <w:spacing w:before="0"/>
            </w:pPr>
            <w:r>
              <w:t>Decide whether to have a pension administration strategy and, if so, the matters it should include.</w:t>
            </w:r>
          </w:p>
        </w:tc>
        <w:tc>
          <w:tcPr>
            <w:tcW w:w="1701" w:type="dxa"/>
          </w:tcPr>
          <w:p w14:paraId="25205244" w14:textId="70DB61A3" w:rsidR="00D56EA7" w:rsidRDefault="00D56EA7" w:rsidP="00D56EA7">
            <w:pPr>
              <w:spacing w:before="0"/>
            </w:pPr>
            <w:r>
              <w:t>Yes, if authority wishes to have such a strategy</w:t>
            </w:r>
          </w:p>
          <w:p w14:paraId="488A7AE2" w14:textId="4BBDB929" w:rsidR="00D56EA7" w:rsidRPr="00C42EF6" w:rsidRDefault="00D56EA7" w:rsidP="00D56EA7">
            <w:pPr>
              <w:spacing w:before="0" w:after="0"/>
            </w:pPr>
            <w:r>
              <w:t xml:space="preserve">See </w:t>
            </w:r>
            <w:hyperlink w:anchor="_Note_10_–" w:history="1">
              <w:r>
                <w:rPr>
                  <w:rStyle w:val="Hyperlink"/>
                </w:rPr>
                <w:t>Note 7</w:t>
              </w:r>
            </w:hyperlink>
          </w:p>
        </w:tc>
        <w:tc>
          <w:tcPr>
            <w:tcW w:w="1843" w:type="dxa"/>
          </w:tcPr>
          <w:p w14:paraId="0398FEDB" w14:textId="4FD6E21F" w:rsidR="00D56EA7" w:rsidRDefault="00D56EA7" w:rsidP="00D56EA7">
            <w:pPr>
              <w:spacing w:before="0"/>
            </w:pPr>
            <w:r>
              <w:t>57 of the 2018 Regulations</w:t>
            </w:r>
          </w:p>
        </w:tc>
      </w:tr>
      <w:tr w:rsidR="00D56EA7" w14:paraId="0A62C032" w14:textId="77777777" w:rsidTr="00AF5D4D">
        <w:trPr>
          <w:cantSplit/>
        </w:trPr>
        <w:tc>
          <w:tcPr>
            <w:tcW w:w="704" w:type="dxa"/>
          </w:tcPr>
          <w:p w14:paraId="1C2CAA7E" w14:textId="020698D9" w:rsidR="00D56EA7" w:rsidRDefault="00A8770B" w:rsidP="00D56EA7">
            <w:pPr>
              <w:spacing w:before="0"/>
            </w:pPr>
            <w:r>
              <w:lastRenderedPageBreak/>
              <w:t>6</w:t>
            </w:r>
            <w:r w:rsidR="00EC0C94">
              <w:t>2</w:t>
            </w:r>
          </w:p>
        </w:tc>
        <w:tc>
          <w:tcPr>
            <w:tcW w:w="2126" w:type="dxa"/>
          </w:tcPr>
          <w:p w14:paraId="7DD447A6" w14:textId="3C90DAF5" w:rsidR="00D56EA7" w:rsidRPr="004240DC" w:rsidRDefault="00D56EA7" w:rsidP="004A34E8">
            <w:pPr>
              <w:pStyle w:val="Heading3"/>
            </w:pPr>
            <w:bookmarkStart w:id="119" w:name="_Pension_accounts"/>
            <w:bookmarkEnd w:id="119"/>
            <w:r w:rsidRPr="004240DC">
              <w:t>Pension accounts</w:t>
            </w:r>
          </w:p>
        </w:tc>
        <w:tc>
          <w:tcPr>
            <w:tcW w:w="3686" w:type="dxa"/>
          </w:tcPr>
          <w:p w14:paraId="53CD96D3" w14:textId="41741118" w:rsidR="00D56EA7" w:rsidRDefault="00D56EA7" w:rsidP="00D56EA7">
            <w:pPr>
              <w:spacing w:before="0"/>
            </w:pPr>
            <w:r>
              <w:t xml:space="preserve">A member who has a benefit in the </w:t>
            </w:r>
            <w:r w:rsidRPr="008C2C64">
              <w:t>2015 Scheme</w:t>
            </w:r>
            <w:r>
              <w:t>.</w:t>
            </w:r>
          </w:p>
        </w:tc>
        <w:tc>
          <w:tcPr>
            <w:tcW w:w="4819" w:type="dxa"/>
          </w:tcPr>
          <w:p w14:paraId="11200FAC" w14:textId="0196248F" w:rsidR="00D56EA7" w:rsidRDefault="00D56EA7" w:rsidP="00D56EA7">
            <w:pPr>
              <w:spacing w:before="0" w:after="0"/>
            </w:pPr>
            <w:r>
              <w:t xml:space="preserve">Decide the form in which to </w:t>
            </w:r>
            <w:r w:rsidR="00527836">
              <w:t>record</w:t>
            </w:r>
            <w:r>
              <w:t xml:space="preserve"> the CARE account as you consider appropriate.</w:t>
            </w:r>
          </w:p>
        </w:tc>
        <w:tc>
          <w:tcPr>
            <w:tcW w:w="1701" w:type="dxa"/>
          </w:tcPr>
          <w:p w14:paraId="6AE8DF87" w14:textId="77777777" w:rsidR="00D56EA7" w:rsidRDefault="00D56EA7" w:rsidP="00D56EA7">
            <w:pPr>
              <w:spacing w:before="0"/>
            </w:pPr>
            <w:r>
              <w:t>No</w:t>
            </w:r>
          </w:p>
          <w:p w14:paraId="1605E5FF" w14:textId="5E11C614"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7B551710" w14:textId="7E8EECD1" w:rsidR="00D56EA7" w:rsidRDefault="00D56EA7" w:rsidP="00D56EA7">
            <w:pPr>
              <w:spacing w:before="0" w:after="0"/>
            </w:pPr>
            <w:r>
              <w:t>22(3)(c) of the 2018 Regulations</w:t>
            </w:r>
          </w:p>
        </w:tc>
      </w:tr>
      <w:tr w:rsidR="00D56EA7" w14:paraId="624EBC1B" w14:textId="77777777" w:rsidTr="00AF5D4D">
        <w:trPr>
          <w:cantSplit/>
        </w:trPr>
        <w:tc>
          <w:tcPr>
            <w:tcW w:w="704" w:type="dxa"/>
          </w:tcPr>
          <w:p w14:paraId="4012DE1E" w14:textId="0D5282DA" w:rsidR="00D56EA7" w:rsidRDefault="00D56EA7" w:rsidP="00D56EA7">
            <w:pPr>
              <w:spacing w:before="0"/>
            </w:pPr>
            <w:r>
              <w:t>6</w:t>
            </w:r>
            <w:r w:rsidR="00EC0C94">
              <w:t>3</w:t>
            </w:r>
          </w:p>
        </w:tc>
        <w:tc>
          <w:tcPr>
            <w:tcW w:w="2126" w:type="dxa"/>
          </w:tcPr>
          <w:p w14:paraId="2868BD04" w14:textId="0B6C31E6" w:rsidR="00D56EA7" w:rsidRPr="00C424D6" w:rsidRDefault="00D56EA7" w:rsidP="004A34E8">
            <w:pPr>
              <w:pStyle w:val="Heading3"/>
            </w:pPr>
            <w:bookmarkStart w:id="120" w:name="_Person_incapable_of"/>
            <w:bookmarkEnd w:id="120"/>
            <w:r w:rsidRPr="00C424D6">
              <w:t>Person incapable of managing their affairs</w:t>
            </w:r>
          </w:p>
        </w:tc>
        <w:tc>
          <w:tcPr>
            <w:tcW w:w="3686" w:type="dxa"/>
          </w:tcPr>
          <w:p w14:paraId="3A2A1FE7" w14:textId="31051E7F" w:rsidR="00D56EA7" w:rsidRDefault="00D56EA7" w:rsidP="00D56EA7">
            <w:pPr>
              <w:spacing w:before="0"/>
            </w:pPr>
            <w:r>
              <w:t>A person entitled to payment of 2015 Scheme benefits, but who appears to the authority to be incapacitated.</w:t>
            </w:r>
          </w:p>
          <w:p w14:paraId="5527F93A" w14:textId="74D16955" w:rsidR="00D56EA7" w:rsidRDefault="00D56EA7" w:rsidP="00D56EA7">
            <w:pPr>
              <w:spacing w:before="0"/>
            </w:pPr>
            <w:r>
              <w:t>‘Incapacitated’ is defined in section 1 of the Adults with Incapacity (Scotland) Act 2000.</w:t>
            </w:r>
          </w:p>
        </w:tc>
        <w:tc>
          <w:tcPr>
            <w:tcW w:w="4819" w:type="dxa"/>
          </w:tcPr>
          <w:p w14:paraId="38BF07B0" w14:textId="48B7695A" w:rsidR="00D56EA7" w:rsidRDefault="00D56EA7" w:rsidP="00D56EA7">
            <w:pPr>
              <w:spacing w:before="0"/>
            </w:pPr>
            <w:r>
              <w:t>Decide whether:</w:t>
            </w:r>
          </w:p>
          <w:p w14:paraId="2E117DB6" w14:textId="2774267D" w:rsidR="00D56EA7" w:rsidRDefault="00D56EA7" w:rsidP="00D56EA7">
            <w:pPr>
              <w:pStyle w:val="ListBullet"/>
            </w:pPr>
            <w:r>
              <w:t>to pay the benefits to, or in trust for, the person,</w:t>
            </w:r>
          </w:p>
          <w:p w14:paraId="0D397421" w14:textId="2FF3FDA9" w:rsidR="00D56EA7" w:rsidRDefault="00D56EA7" w:rsidP="00D56EA7">
            <w:pPr>
              <w:pStyle w:val="ListBullet"/>
            </w:pPr>
            <w:r>
              <w:t>to pay the benefits, or any part of them, to a different person having the care of the person entitled, to be applied for the benefit of the person entitled,</w:t>
            </w:r>
          </w:p>
          <w:p w14:paraId="0D490666" w14:textId="2A96A6B5" w:rsidR="00D56EA7" w:rsidRDefault="00D56EA7" w:rsidP="00D56EA7">
            <w:pPr>
              <w:pStyle w:val="ListBullet"/>
            </w:pPr>
            <w:r>
              <w:t>to pay the benefits, or any part of them, to another person you determine, to be applied for the benefit of the person entitled, or</w:t>
            </w:r>
          </w:p>
          <w:p w14:paraId="7990F770" w14:textId="5E177636" w:rsidR="00D56EA7" w:rsidRDefault="00D56EA7" w:rsidP="00D56EA7">
            <w:pPr>
              <w:pStyle w:val="ListBullet"/>
            </w:pPr>
            <w:r>
              <w:t>to apply the benefits in another manner you determine for the person’s benefit or for the benefit of any beneficiaries of theirs.</w:t>
            </w:r>
          </w:p>
        </w:tc>
        <w:tc>
          <w:tcPr>
            <w:tcW w:w="1701" w:type="dxa"/>
          </w:tcPr>
          <w:p w14:paraId="2E3918BF" w14:textId="77777777" w:rsidR="00D56EA7" w:rsidRDefault="00D56EA7" w:rsidP="00D56EA7">
            <w:pPr>
              <w:spacing w:before="0"/>
            </w:pPr>
            <w:r>
              <w:t>No</w:t>
            </w:r>
          </w:p>
          <w:p w14:paraId="49718DEE" w14:textId="2E19C8CC"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245EC23F" w14:textId="04BF712F" w:rsidR="00D56EA7" w:rsidRDefault="00D56EA7" w:rsidP="00D56EA7">
            <w:pPr>
              <w:spacing w:before="0"/>
            </w:pPr>
            <w:r>
              <w:t>78 of the 2018 Regulations</w:t>
            </w:r>
          </w:p>
        </w:tc>
      </w:tr>
      <w:tr w:rsidR="00D56EA7" w14:paraId="313212A5" w14:textId="77777777" w:rsidTr="00AF5D4D">
        <w:trPr>
          <w:cantSplit/>
        </w:trPr>
        <w:tc>
          <w:tcPr>
            <w:tcW w:w="704" w:type="dxa"/>
          </w:tcPr>
          <w:p w14:paraId="77E64B2A" w14:textId="16013D05" w:rsidR="00D56EA7" w:rsidRDefault="00D56EA7" w:rsidP="00D56EA7">
            <w:pPr>
              <w:spacing w:before="0"/>
            </w:pPr>
            <w:r>
              <w:lastRenderedPageBreak/>
              <w:t>6</w:t>
            </w:r>
            <w:r w:rsidR="00EC0C94">
              <w:t>4</w:t>
            </w:r>
          </w:p>
        </w:tc>
        <w:tc>
          <w:tcPr>
            <w:tcW w:w="2126" w:type="dxa"/>
          </w:tcPr>
          <w:p w14:paraId="58DE7CD2" w14:textId="06503A02" w:rsidR="00D56EA7" w:rsidRPr="006171FE" w:rsidRDefault="00D56EA7" w:rsidP="004A34E8">
            <w:pPr>
              <w:pStyle w:val="Heading3"/>
            </w:pPr>
            <w:bookmarkStart w:id="121" w:name="_Retirement_-_flexible"/>
            <w:bookmarkEnd w:id="121"/>
            <w:r w:rsidRPr="006171FE">
              <w:t xml:space="preserve">Retirement </w:t>
            </w:r>
            <w:r w:rsidR="00722C22">
              <w:t>–</w:t>
            </w:r>
            <w:r w:rsidRPr="006171FE">
              <w:t xml:space="preserve"> flexible retirement</w:t>
            </w:r>
          </w:p>
        </w:tc>
        <w:tc>
          <w:tcPr>
            <w:tcW w:w="3686" w:type="dxa"/>
          </w:tcPr>
          <w:p w14:paraId="6A677A26" w14:textId="5DDAF23F" w:rsidR="00D56EA7" w:rsidRDefault="00D56EA7" w:rsidP="00D56EA7">
            <w:pPr>
              <w:spacing w:before="0"/>
            </w:pPr>
            <w:r>
              <w:t>A member who elects to receive their benefits on flexible retirement.</w:t>
            </w:r>
          </w:p>
        </w:tc>
        <w:tc>
          <w:tcPr>
            <w:tcW w:w="4819" w:type="dxa"/>
          </w:tcPr>
          <w:p w14:paraId="338C3D32" w14:textId="747A4D82" w:rsidR="00D56EA7" w:rsidRDefault="00D56EA7" w:rsidP="00D56EA7">
            <w:pPr>
              <w:spacing w:before="0"/>
            </w:pPr>
            <w:r>
              <w:t>Decide whether to amend the time limit for the member’s election.</w:t>
            </w:r>
          </w:p>
          <w:p w14:paraId="1EC5F94B" w14:textId="181F9423" w:rsidR="00D56EA7" w:rsidRDefault="00D56EA7" w:rsidP="00D56EA7">
            <w:pPr>
              <w:spacing w:before="0" w:after="0"/>
            </w:pPr>
            <w:r>
              <w:t>The normal time limit requires the member to give the election within one month of the reduction in hours or grade.</w:t>
            </w:r>
          </w:p>
        </w:tc>
        <w:tc>
          <w:tcPr>
            <w:tcW w:w="1701" w:type="dxa"/>
          </w:tcPr>
          <w:p w14:paraId="77B2028E" w14:textId="77777777" w:rsidR="00D56EA7" w:rsidRDefault="00D56EA7" w:rsidP="00D56EA7">
            <w:pPr>
              <w:spacing w:before="0"/>
            </w:pPr>
            <w:r>
              <w:t>No</w:t>
            </w:r>
          </w:p>
          <w:p w14:paraId="2BF984E5" w14:textId="0318FA26"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1E6C0615" w14:textId="70414151" w:rsidR="00D56EA7" w:rsidRDefault="00D56EA7" w:rsidP="00D56EA7">
            <w:pPr>
              <w:spacing w:before="0"/>
            </w:pPr>
            <w:r>
              <w:t>31(8) of the 2018 Regulations</w:t>
            </w:r>
          </w:p>
        </w:tc>
      </w:tr>
      <w:tr w:rsidR="00D56EA7" w14:paraId="6A0C37EB" w14:textId="77777777" w:rsidTr="00AF5D4D">
        <w:trPr>
          <w:cantSplit/>
        </w:trPr>
        <w:tc>
          <w:tcPr>
            <w:tcW w:w="704" w:type="dxa"/>
          </w:tcPr>
          <w:p w14:paraId="2914FC41" w14:textId="2292F4F9" w:rsidR="00D56EA7" w:rsidRDefault="00D56EA7" w:rsidP="00D56EA7">
            <w:pPr>
              <w:spacing w:before="0"/>
            </w:pPr>
            <w:r>
              <w:t>6</w:t>
            </w:r>
            <w:r w:rsidR="00EC0C94">
              <w:t>5</w:t>
            </w:r>
          </w:p>
        </w:tc>
        <w:tc>
          <w:tcPr>
            <w:tcW w:w="2126" w:type="dxa"/>
          </w:tcPr>
          <w:p w14:paraId="251E149E" w14:textId="50F3B9B4" w:rsidR="00D56EA7" w:rsidRPr="006171FE" w:rsidRDefault="00D56EA7" w:rsidP="004A34E8">
            <w:pPr>
              <w:pStyle w:val="Heading3"/>
            </w:pPr>
            <w:bookmarkStart w:id="122" w:name="_Retirement_-_ill"/>
            <w:bookmarkEnd w:id="122"/>
            <w:r w:rsidRPr="006171FE">
              <w:t xml:space="preserve">Retirement </w:t>
            </w:r>
            <w:r w:rsidR="00722C22">
              <w:t>–</w:t>
            </w:r>
            <w:r w:rsidRPr="006171FE">
              <w:t xml:space="preserve"> ill health retirement from active status</w:t>
            </w:r>
          </w:p>
        </w:tc>
        <w:tc>
          <w:tcPr>
            <w:tcW w:w="3686" w:type="dxa"/>
          </w:tcPr>
          <w:p w14:paraId="0E09C46C" w14:textId="523D90A9" w:rsidR="00D56EA7" w:rsidRDefault="00D56EA7" w:rsidP="00D56EA7">
            <w:pPr>
              <w:spacing w:before="0"/>
            </w:pPr>
            <w:r>
              <w:t>A member for whom the employer must decide if they qualify for ill health retirement.</w:t>
            </w:r>
          </w:p>
        </w:tc>
        <w:tc>
          <w:tcPr>
            <w:tcW w:w="4819" w:type="dxa"/>
          </w:tcPr>
          <w:p w14:paraId="27C1209A" w14:textId="24FD4936" w:rsidR="00D56EA7" w:rsidRDefault="00D56EA7" w:rsidP="00D56EA7">
            <w:pPr>
              <w:spacing w:before="0"/>
            </w:pPr>
            <w:r>
              <w:t>Decide whether to approve the employer’s choice of independent registered medical practitioner.</w:t>
            </w:r>
          </w:p>
        </w:tc>
        <w:tc>
          <w:tcPr>
            <w:tcW w:w="1701" w:type="dxa"/>
          </w:tcPr>
          <w:p w14:paraId="23EE6D78" w14:textId="77777777" w:rsidR="00D56EA7" w:rsidRDefault="00D56EA7" w:rsidP="00D56EA7">
            <w:pPr>
              <w:spacing w:before="0"/>
            </w:pPr>
            <w:r>
              <w:t>No</w:t>
            </w:r>
          </w:p>
          <w:p w14:paraId="370C84B8" w14:textId="0CEA47B3"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764C5956" w14:textId="12CD4CDC" w:rsidR="00D56EA7" w:rsidRDefault="00D56EA7" w:rsidP="00D56EA7">
            <w:pPr>
              <w:spacing w:before="0"/>
            </w:pPr>
            <w:r>
              <w:t>35(3) of the 2018 Regulations</w:t>
            </w:r>
          </w:p>
        </w:tc>
      </w:tr>
      <w:tr w:rsidR="00D56EA7" w14:paraId="4FBAAED5" w14:textId="77777777" w:rsidTr="00AF5D4D">
        <w:trPr>
          <w:cantSplit/>
        </w:trPr>
        <w:tc>
          <w:tcPr>
            <w:tcW w:w="704" w:type="dxa"/>
          </w:tcPr>
          <w:p w14:paraId="507C413C" w14:textId="18984A65" w:rsidR="00D56EA7" w:rsidRDefault="00D56EA7" w:rsidP="00D56EA7">
            <w:pPr>
              <w:spacing w:before="0"/>
            </w:pPr>
            <w:r>
              <w:t>6</w:t>
            </w:r>
            <w:r w:rsidR="00EC0C94">
              <w:t>6</w:t>
            </w:r>
          </w:p>
        </w:tc>
        <w:tc>
          <w:tcPr>
            <w:tcW w:w="2126" w:type="dxa"/>
          </w:tcPr>
          <w:p w14:paraId="49DF88B7" w14:textId="6729D89B" w:rsidR="00D56EA7" w:rsidRPr="006D4F1B" w:rsidRDefault="00D56EA7" w:rsidP="004A34E8">
            <w:pPr>
              <w:pStyle w:val="Heading3"/>
            </w:pPr>
            <w:bookmarkStart w:id="123" w:name="_Retirement_-_ill_1"/>
            <w:bookmarkEnd w:id="123"/>
            <w:r w:rsidRPr="006D4F1B">
              <w:t xml:space="preserve">Retirement </w:t>
            </w:r>
            <w:r w:rsidR="00722C22">
              <w:t>–</w:t>
            </w:r>
            <w:r w:rsidRPr="006D4F1B">
              <w:t xml:space="preserve"> ill health from deferred status</w:t>
            </w:r>
          </w:p>
        </w:tc>
        <w:tc>
          <w:tcPr>
            <w:tcW w:w="3686" w:type="dxa"/>
          </w:tcPr>
          <w:p w14:paraId="4FF66B61" w14:textId="77777777" w:rsidR="003F4EF0" w:rsidRDefault="00D56EA7" w:rsidP="003F4EF0">
            <w:pPr>
              <w:spacing w:before="0"/>
            </w:pPr>
            <w:r>
              <w:t>A</w:t>
            </w:r>
            <w:r w:rsidR="00C36EF5">
              <w:t xml:space="preserve"> deferred member who:</w:t>
            </w:r>
          </w:p>
          <w:p w14:paraId="26380608" w14:textId="002CEAE7" w:rsidR="00D56EA7" w:rsidRDefault="00C36EF5" w:rsidP="003F4EF0">
            <w:pPr>
              <w:pStyle w:val="ListBullet"/>
            </w:pPr>
            <w:r>
              <w:t>left after 31 March 2009,</w:t>
            </w:r>
          </w:p>
          <w:p w14:paraId="62F65FC3" w14:textId="77777777" w:rsidR="00DF7222" w:rsidRDefault="00C36EF5" w:rsidP="00347851">
            <w:pPr>
              <w:pStyle w:val="ListBullet"/>
            </w:pPr>
            <w:r>
              <w:t xml:space="preserve">applies for early payment </w:t>
            </w:r>
            <w:r w:rsidR="00DF7222">
              <w:t>on ill health grounds</w:t>
            </w:r>
            <w:r w:rsidR="00605A9D">
              <w:t>, and</w:t>
            </w:r>
          </w:p>
          <w:p w14:paraId="1F8CC03B" w14:textId="58CD46BB" w:rsidR="00605A9D" w:rsidRDefault="00605A9D" w:rsidP="00347851">
            <w:pPr>
              <w:pStyle w:val="ListBullet"/>
            </w:pPr>
            <w:r>
              <w:t>meets the ill health condition</w:t>
            </w:r>
            <w:r w:rsidR="00B17D83">
              <w:t>s</w:t>
            </w:r>
            <w:r>
              <w:t>.</w:t>
            </w:r>
          </w:p>
        </w:tc>
        <w:tc>
          <w:tcPr>
            <w:tcW w:w="4819" w:type="dxa"/>
          </w:tcPr>
          <w:p w14:paraId="75B7528D" w14:textId="79CFDB74" w:rsidR="00F92756" w:rsidRDefault="00D56EA7" w:rsidP="00D56EA7">
            <w:pPr>
              <w:spacing w:before="0"/>
            </w:pPr>
            <w:r>
              <w:t xml:space="preserve">Decide whether </w:t>
            </w:r>
            <w:r w:rsidR="00DF7222">
              <w:t>to agree to the member’s application for early payment.</w:t>
            </w:r>
          </w:p>
        </w:tc>
        <w:tc>
          <w:tcPr>
            <w:tcW w:w="1701" w:type="dxa"/>
          </w:tcPr>
          <w:p w14:paraId="7CA2CAC1" w14:textId="77777777" w:rsidR="00D56EA7" w:rsidRDefault="00D56EA7" w:rsidP="00D56EA7">
            <w:pPr>
              <w:spacing w:before="0"/>
            </w:pPr>
            <w:r>
              <w:t>No</w:t>
            </w:r>
          </w:p>
          <w:p w14:paraId="14E6D121" w14:textId="0C493717"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6FD33343" w14:textId="77777777" w:rsidR="00D56EA7" w:rsidRDefault="00D56EA7" w:rsidP="00D56EA7">
            <w:pPr>
              <w:spacing w:before="0"/>
            </w:pPr>
            <w:r>
              <w:t>36(3) of the 2018 Regulations</w:t>
            </w:r>
          </w:p>
          <w:p w14:paraId="75F193A9" w14:textId="748899D2" w:rsidR="00D56EA7" w:rsidRDefault="00D56EA7" w:rsidP="00DF7222">
            <w:pPr>
              <w:spacing w:before="0" w:after="0"/>
            </w:pPr>
            <w:r>
              <w:t>31(2) of the 2008 Benefit Regulations</w:t>
            </w:r>
          </w:p>
        </w:tc>
      </w:tr>
      <w:tr w:rsidR="00D56EA7" w14:paraId="0A6FF85E" w14:textId="77777777" w:rsidTr="00AF5D4D">
        <w:trPr>
          <w:cantSplit/>
        </w:trPr>
        <w:tc>
          <w:tcPr>
            <w:tcW w:w="704" w:type="dxa"/>
          </w:tcPr>
          <w:p w14:paraId="61BFD1F9" w14:textId="0C897FE1" w:rsidR="00D56EA7" w:rsidRDefault="00D56EA7" w:rsidP="00D56EA7">
            <w:pPr>
              <w:spacing w:before="0"/>
            </w:pPr>
            <w:r>
              <w:lastRenderedPageBreak/>
              <w:t>6</w:t>
            </w:r>
            <w:r w:rsidR="00EC0C94">
              <w:t>7</w:t>
            </w:r>
          </w:p>
        </w:tc>
        <w:tc>
          <w:tcPr>
            <w:tcW w:w="2126" w:type="dxa"/>
          </w:tcPr>
          <w:p w14:paraId="01788309" w14:textId="5FBA50FE" w:rsidR="00D56EA7" w:rsidRPr="006D4F1B" w:rsidRDefault="00D56EA7" w:rsidP="004A34E8">
            <w:pPr>
              <w:pStyle w:val="Heading3"/>
            </w:pPr>
            <w:bookmarkStart w:id="124" w:name="_Retirement_-_voluntary"/>
            <w:bookmarkEnd w:id="124"/>
            <w:r w:rsidRPr="006D4F1B">
              <w:t xml:space="preserve">Retirement </w:t>
            </w:r>
            <w:r w:rsidR="00722C22">
              <w:t>–</w:t>
            </w:r>
            <w:r w:rsidRPr="006D4F1B">
              <w:t xml:space="preserve"> voluntary</w:t>
            </w:r>
          </w:p>
        </w:tc>
        <w:tc>
          <w:tcPr>
            <w:tcW w:w="3686" w:type="dxa"/>
          </w:tcPr>
          <w:p w14:paraId="18E0FD08" w14:textId="5D3A40D4" w:rsidR="00D56EA7" w:rsidRDefault="00D56EA7" w:rsidP="00D56EA7">
            <w:pPr>
              <w:spacing w:before="0"/>
            </w:pPr>
            <w:r>
              <w:t>A member who left active membership after 31 March 2015 and:</w:t>
            </w:r>
          </w:p>
          <w:p w14:paraId="0A57D322" w14:textId="1D8B4F16" w:rsidR="00D56EA7" w:rsidRDefault="00D56EA7" w:rsidP="00D56EA7">
            <w:pPr>
              <w:pStyle w:val="ListBullet"/>
            </w:pPr>
            <w:r>
              <w:t xml:space="preserve">elects to receive their benefits between age 55 and </w:t>
            </w:r>
            <w:r w:rsidRPr="008C2C64">
              <w:t>normal pension age</w:t>
            </w:r>
            <w:r>
              <w:t>, or</w:t>
            </w:r>
          </w:p>
          <w:p w14:paraId="07479331" w14:textId="4A1D9BFD" w:rsidR="00D56EA7" w:rsidRDefault="00D56EA7" w:rsidP="00D56EA7">
            <w:pPr>
              <w:pStyle w:val="ListBullet"/>
            </w:pPr>
            <w:r>
              <w:t>elects to receive their benefits between normal pension age and 75.</w:t>
            </w:r>
          </w:p>
        </w:tc>
        <w:tc>
          <w:tcPr>
            <w:tcW w:w="4819" w:type="dxa"/>
          </w:tcPr>
          <w:p w14:paraId="2028B2F0" w14:textId="6B92F031" w:rsidR="00D56EA7" w:rsidRDefault="00D56EA7" w:rsidP="00D56EA7">
            <w:pPr>
              <w:spacing w:before="0"/>
            </w:pPr>
            <w:r>
              <w:t>Decide whether to amend the default time limit for the member’s election.</w:t>
            </w:r>
          </w:p>
          <w:p w14:paraId="5FE664A4" w14:textId="34B17986" w:rsidR="00D56EA7" w:rsidRDefault="00D56EA7" w:rsidP="00D56EA7">
            <w:pPr>
              <w:spacing w:before="0"/>
            </w:pPr>
            <w:r>
              <w:t>The default time limit requires the member to give the election at least three months before the proposed payable date.</w:t>
            </w:r>
          </w:p>
        </w:tc>
        <w:tc>
          <w:tcPr>
            <w:tcW w:w="1701" w:type="dxa"/>
          </w:tcPr>
          <w:p w14:paraId="58787275" w14:textId="29194636" w:rsidR="00D56EA7" w:rsidRDefault="00D56EA7" w:rsidP="00D56EA7">
            <w:pPr>
              <w:spacing w:before="0"/>
            </w:pPr>
            <w:r>
              <w:t>No</w:t>
            </w:r>
          </w:p>
          <w:p w14:paraId="24AFC281" w14:textId="6AA723E7" w:rsidR="00D56EA7" w:rsidRDefault="00D56EA7" w:rsidP="00D56EA7">
            <w:pPr>
              <w:spacing w:before="0"/>
              <w:rPr>
                <w:highlight w:val="yellow"/>
              </w:rPr>
            </w:pPr>
            <w:r w:rsidRPr="00D95EC6">
              <w:t xml:space="preserve">See </w:t>
            </w:r>
            <w:hyperlink w:anchor="_Note_1" w:history="1">
              <w:r w:rsidRPr="00D95EC6">
                <w:rPr>
                  <w:rStyle w:val="Hyperlink"/>
                </w:rPr>
                <w:t>Note 1</w:t>
              </w:r>
            </w:hyperlink>
          </w:p>
        </w:tc>
        <w:tc>
          <w:tcPr>
            <w:tcW w:w="1843" w:type="dxa"/>
          </w:tcPr>
          <w:p w14:paraId="05C5A5A2" w14:textId="2E208036" w:rsidR="00D56EA7" w:rsidRDefault="00D56EA7" w:rsidP="00D56EA7">
            <w:pPr>
              <w:spacing w:before="0"/>
            </w:pPr>
            <w:r>
              <w:t>31(8) of the 2018 Regulations</w:t>
            </w:r>
          </w:p>
        </w:tc>
      </w:tr>
      <w:tr w:rsidR="00D56EA7" w14:paraId="516973D9" w14:textId="77777777" w:rsidTr="00AF5D4D">
        <w:trPr>
          <w:cantSplit/>
        </w:trPr>
        <w:tc>
          <w:tcPr>
            <w:tcW w:w="704" w:type="dxa"/>
          </w:tcPr>
          <w:p w14:paraId="5DAB4C11" w14:textId="7BC7D76C" w:rsidR="00D56EA7" w:rsidRDefault="00D56EA7" w:rsidP="00D56EA7">
            <w:pPr>
              <w:spacing w:before="0"/>
            </w:pPr>
            <w:r>
              <w:lastRenderedPageBreak/>
              <w:t>6</w:t>
            </w:r>
            <w:r w:rsidR="00EC0C94">
              <w:t>8</w:t>
            </w:r>
          </w:p>
        </w:tc>
        <w:tc>
          <w:tcPr>
            <w:tcW w:w="2126" w:type="dxa"/>
          </w:tcPr>
          <w:p w14:paraId="17AB760F" w14:textId="1D228542" w:rsidR="00D56EA7" w:rsidRPr="006D4F1B" w:rsidRDefault="00D56EA7" w:rsidP="004A34E8">
            <w:pPr>
              <w:pStyle w:val="Heading3"/>
            </w:pPr>
            <w:bookmarkStart w:id="125" w:name="_Retirement_–_voluntary"/>
            <w:bookmarkStart w:id="126" w:name="_Toc177712034"/>
            <w:bookmarkEnd w:id="125"/>
            <w:r w:rsidRPr="006D4F1B">
              <w:t>Retirement</w:t>
            </w:r>
            <w:bookmarkEnd w:id="126"/>
            <w:r w:rsidRPr="006D4F1B">
              <w:t xml:space="preserve"> – voluntary</w:t>
            </w:r>
          </w:p>
        </w:tc>
        <w:tc>
          <w:tcPr>
            <w:tcW w:w="3686" w:type="dxa"/>
          </w:tcPr>
          <w:p w14:paraId="09A546D5" w14:textId="0F0BD76F" w:rsidR="00D56EA7" w:rsidRDefault="00D56EA7" w:rsidP="00D56EA7">
            <w:pPr>
              <w:spacing w:before="0"/>
            </w:pPr>
            <w:r>
              <w:t>A member awarded a pension credit under the 2015 scheme who:</w:t>
            </w:r>
          </w:p>
          <w:p w14:paraId="1FDC3F2B" w14:textId="393CAA46" w:rsidR="00D56EA7" w:rsidRDefault="00D56EA7" w:rsidP="00D56EA7">
            <w:pPr>
              <w:pStyle w:val="ListBullet"/>
            </w:pPr>
            <w:r>
              <w:t>elects to receive their benefits between age 55 and normal pension age, or</w:t>
            </w:r>
          </w:p>
          <w:p w14:paraId="775AF0D7" w14:textId="78408D83" w:rsidR="00D56EA7" w:rsidRDefault="00D56EA7" w:rsidP="00D56EA7">
            <w:pPr>
              <w:pStyle w:val="ListBullet"/>
            </w:pPr>
            <w:r>
              <w:t>elects to receive their benefits between normal pension age and 75.</w:t>
            </w:r>
          </w:p>
          <w:p w14:paraId="12FCEFE3" w14:textId="77777777" w:rsidR="00D56EA7" w:rsidRDefault="00D56EA7" w:rsidP="00D56EA7">
            <w:r>
              <w:t>A credit member will be awarded the credit under the 2015 Scheme if:</w:t>
            </w:r>
          </w:p>
          <w:p w14:paraId="190CEC3A" w14:textId="77777777" w:rsidR="00D56EA7" w:rsidRDefault="00D56EA7" w:rsidP="00D56EA7">
            <w:pPr>
              <w:pStyle w:val="ListBullet"/>
            </w:pPr>
            <w:r>
              <w:t>the sharing order’s effective date is after March 2015, and</w:t>
            </w:r>
          </w:p>
          <w:p w14:paraId="27DCCB28" w14:textId="36431131" w:rsidR="00D56EA7" w:rsidRDefault="00D56EA7" w:rsidP="00D56EA7">
            <w:pPr>
              <w:pStyle w:val="ListBullet"/>
            </w:pPr>
            <w:r>
              <w:t>the debit member has some 2015 Scheme benefits.</w:t>
            </w:r>
          </w:p>
        </w:tc>
        <w:tc>
          <w:tcPr>
            <w:tcW w:w="4819" w:type="dxa"/>
          </w:tcPr>
          <w:p w14:paraId="44667762" w14:textId="7D9F8579" w:rsidR="00D56EA7" w:rsidRDefault="00D56EA7" w:rsidP="00D56EA7">
            <w:pPr>
              <w:spacing w:before="0"/>
            </w:pPr>
            <w:r>
              <w:t>Decide whether to amend the default time limit for the pension credit member’s election.</w:t>
            </w:r>
          </w:p>
          <w:p w14:paraId="5C6A8FBA" w14:textId="109AA505" w:rsidR="00D56EA7" w:rsidRDefault="00D56EA7" w:rsidP="00D56EA7">
            <w:pPr>
              <w:spacing w:before="0"/>
            </w:pPr>
            <w:r>
              <w:t>The default time limit requires the pension credit member to give the election at least three months before the proposed payable date.</w:t>
            </w:r>
          </w:p>
        </w:tc>
        <w:tc>
          <w:tcPr>
            <w:tcW w:w="1701" w:type="dxa"/>
          </w:tcPr>
          <w:p w14:paraId="539ADB93" w14:textId="77777777" w:rsidR="00D56EA7" w:rsidRDefault="00D56EA7" w:rsidP="00D56EA7">
            <w:pPr>
              <w:spacing w:before="0"/>
            </w:pPr>
            <w:r>
              <w:t>No</w:t>
            </w:r>
          </w:p>
          <w:p w14:paraId="7F18B65F" w14:textId="7A66C4DA" w:rsidR="00D56EA7" w:rsidRPr="00F20255"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7219589D" w14:textId="441420B6" w:rsidR="00D56EA7" w:rsidRDefault="00D56EA7" w:rsidP="00D56EA7">
            <w:pPr>
              <w:spacing w:before="0"/>
            </w:pPr>
            <w:r>
              <w:t>31(8) of the 2018 Regulations</w:t>
            </w:r>
          </w:p>
        </w:tc>
      </w:tr>
      <w:tr w:rsidR="00D56EA7" w14:paraId="4FF7BC4D" w14:textId="77777777" w:rsidTr="00AF5D4D">
        <w:trPr>
          <w:cantSplit/>
        </w:trPr>
        <w:tc>
          <w:tcPr>
            <w:tcW w:w="704" w:type="dxa"/>
          </w:tcPr>
          <w:p w14:paraId="5388C21A" w14:textId="6D51710D" w:rsidR="00D56EA7" w:rsidRDefault="00D56EA7" w:rsidP="00D56EA7">
            <w:pPr>
              <w:spacing w:before="0"/>
            </w:pPr>
            <w:r>
              <w:lastRenderedPageBreak/>
              <w:t>6</w:t>
            </w:r>
            <w:r w:rsidR="00EC0C94">
              <w:t>9</w:t>
            </w:r>
          </w:p>
        </w:tc>
        <w:tc>
          <w:tcPr>
            <w:tcW w:w="2126" w:type="dxa"/>
          </w:tcPr>
          <w:p w14:paraId="38979911" w14:textId="4BB5E1C8" w:rsidR="00D56EA7" w:rsidRPr="004B14D1" w:rsidRDefault="00D56EA7" w:rsidP="004A34E8">
            <w:pPr>
              <w:pStyle w:val="Heading3"/>
            </w:pPr>
            <w:bookmarkStart w:id="127" w:name="_Retirement_-_voluntary_1"/>
            <w:bookmarkStart w:id="128" w:name="_Toc177712035"/>
            <w:bookmarkEnd w:id="127"/>
            <w:r w:rsidRPr="004B14D1">
              <w:t>Retirement</w:t>
            </w:r>
            <w:bookmarkEnd w:id="128"/>
            <w:r w:rsidRPr="004B14D1">
              <w:t xml:space="preserve"> </w:t>
            </w:r>
            <w:r w:rsidR="00722C22">
              <w:t>–</w:t>
            </w:r>
            <w:r w:rsidRPr="004B14D1">
              <w:t xml:space="preserve"> voluntary</w:t>
            </w:r>
          </w:p>
        </w:tc>
        <w:tc>
          <w:tcPr>
            <w:tcW w:w="3686" w:type="dxa"/>
          </w:tcPr>
          <w:p w14:paraId="468B724C" w14:textId="2E003F9B" w:rsidR="00D56EA7" w:rsidRDefault="00D56EA7" w:rsidP="00D56EA7">
            <w:pPr>
              <w:spacing w:before="0"/>
            </w:pPr>
            <w:r>
              <w:t>A member who left with deferred benefits between 1 April 2009 and 31 March 2015 and wishes to elect to receive the benefits before age 65 or between age 65 and 75 on non-ill health grounds must notify the administering authority in writing of their chosen date.</w:t>
            </w:r>
          </w:p>
          <w:p w14:paraId="2AD7F6D2" w14:textId="5658C4D6" w:rsidR="00D56EA7" w:rsidRDefault="00D56EA7" w:rsidP="00D56EA7">
            <w:pPr>
              <w:spacing w:before="0" w:after="0"/>
            </w:pPr>
            <w:r>
              <w:t>The member can later change this date by providing further written notice to the administering authority.</w:t>
            </w:r>
          </w:p>
        </w:tc>
        <w:tc>
          <w:tcPr>
            <w:tcW w:w="4819" w:type="dxa"/>
          </w:tcPr>
          <w:p w14:paraId="3C6573F9" w14:textId="496B5A8C" w:rsidR="00D56EA7" w:rsidRDefault="00D56EA7" w:rsidP="00D56EA7">
            <w:pPr>
              <w:spacing w:before="0"/>
            </w:pPr>
            <w:r>
              <w:t>Decide whether to amend the default time limit for giving notice (or further notice).</w:t>
            </w:r>
          </w:p>
          <w:p w14:paraId="3A24A15E" w14:textId="7EFED808" w:rsidR="00D56EA7" w:rsidRDefault="00D56EA7" w:rsidP="00D56EA7">
            <w:pPr>
              <w:spacing w:before="0"/>
            </w:pPr>
            <w:r>
              <w:t>The default time limit requires the member to provide notice (or further notice) at least three months before the date the benefits would otherwise become payable.</w:t>
            </w:r>
          </w:p>
        </w:tc>
        <w:tc>
          <w:tcPr>
            <w:tcW w:w="1701" w:type="dxa"/>
          </w:tcPr>
          <w:p w14:paraId="04EA11BD" w14:textId="77777777" w:rsidR="00D56EA7" w:rsidRDefault="00D56EA7" w:rsidP="00D56EA7">
            <w:pPr>
              <w:spacing w:before="0"/>
            </w:pPr>
            <w:r>
              <w:t>No</w:t>
            </w:r>
          </w:p>
          <w:p w14:paraId="2A4F6D24" w14:textId="2D4D2DFD"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441AB753" w14:textId="746EAAD9" w:rsidR="00D56EA7" w:rsidRDefault="00D56EA7" w:rsidP="00D56EA7">
            <w:pPr>
              <w:spacing w:before="0"/>
            </w:pPr>
            <w:r>
              <w:t>46(7) and (8) of the 2008 Administration Regulations</w:t>
            </w:r>
          </w:p>
        </w:tc>
      </w:tr>
      <w:tr w:rsidR="00D56EA7" w14:paraId="2A95CF64" w14:textId="77777777" w:rsidTr="00AF5D4D">
        <w:trPr>
          <w:cantSplit/>
        </w:trPr>
        <w:tc>
          <w:tcPr>
            <w:tcW w:w="704" w:type="dxa"/>
          </w:tcPr>
          <w:p w14:paraId="1510427D" w14:textId="02DFC99D" w:rsidR="00D56EA7" w:rsidRDefault="00EC0C94" w:rsidP="00D56EA7">
            <w:pPr>
              <w:spacing w:before="0"/>
            </w:pPr>
            <w:r>
              <w:lastRenderedPageBreak/>
              <w:t>70</w:t>
            </w:r>
          </w:p>
        </w:tc>
        <w:tc>
          <w:tcPr>
            <w:tcW w:w="2126" w:type="dxa"/>
          </w:tcPr>
          <w:p w14:paraId="779ACD4B" w14:textId="52CEEE54" w:rsidR="00D56EA7" w:rsidRPr="004B14D1" w:rsidRDefault="00D56EA7" w:rsidP="004A34E8">
            <w:pPr>
              <w:pStyle w:val="Heading3"/>
            </w:pPr>
            <w:bookmarkStart w:id="129" w:name="_Retirement_–_serious"/>
            <w:bookmarkStart w:id="130" w:name="_Toc177712036"/>
            <w:bookmarkEnd w:id="129"/>
            <w:r w:rsidRPr="004B14D1">
              <w:t>Retirement</w:t>
            </w:r>
            <w:bookmarkEnd w:id="130"/>
            <w:r w:rsidRPr="004B14D1">
              <w:t xml:space="preserve"> – serious ill health</w:t>
            </w:r>
          </w:p>
        </w:tc>
        <w:tc>
          <w:tcPr>
            <w:tcW w:w="3686" w:type="dxa"/>
          </w:tcPr>
          <w:p w14:paraId="13A3BD66" w14:textId="405BEC2D" w:rsidR="00D56EA7" w:rsidRDefault="00D56EA7" w:rsidP="00D56EA7">
            <w:pPr>
              <w:spacing w:before="0"/>
            </w:pPr>
            <w:r>
              <w:t>A member:</w:t>
            </w:r>
          </w:p>
          <w:p w14:paraId="4C423017" w14:textId="30EC8C72" w:rsidR="00D56EA7" w:rsidRDefault="00D56EA7" w:rsidP="00D56EA7">
            <w:pPr>
              <w:pStyle w:val="ListBullet"/>
            </w:pPr>
            <w:r>
              <w:t>who left before 1 April 2015 with deferred benefits,</w:t>
            </w:r>
          </w:p>
          <w:p w14:paraId="4B690E46" w14:textId="2C67EB4B" w:rsidR="00D56EA7" w:rsidRDefault="00D56EA7" w:rsidP="00D56EA7">
            <w:pPr>
              <w:pStyle w:val="ListBullet"/>
            </w:pPr>
            <w:r>
              <w:t>whose benefits are about to become payable, and</w:t>
            </w:r>
          </w:p>
          <w:p w14:paraId="08C2AFDC" w14:textId="5B0D23EC" w:rsidR="00D56EA7" w:rsidRDefault="00D56EA7" w:rsidP="00D56EA7">
            <w:pPr>
              <w:pStyle w:val="ListBullet"/>
            </w:pPr>
            <w:r>
              <w:t>who qualifies for a serious ill health lump sum.</w:t>
            </w:r>
          </w:p>
        </w:tc>
        <w:tc>
          <w:tcPr>
            <w:tcW w:w="4819" w:type="dxa"/>
          </w:tcPr>
          <w:p w14:paraId="2FE136E8" w14:textId="222805A7" w:rsidR="00D56EA7" w:rsidRDefault="00D56EA7" w:rsidP="00D56EA7">
            <w:pPr>
              <w:spacing w:before="0"/>
            </w:pPr>
            <w:r>
              <w:t>Decide whether to commute the annual pension into a serious ill health lump sum.</w:t>
            </w:r>
          </w:p>
        </w:tc>
        <w:tc>
          <w:tcPr>
            <w:tcW w:w="1701" w:type="dxa"/>
          </w:tcPr>
          <w:p w14:paraId="20E1805E" w14:textId="77777777" w:rsidR="00D56EA7" w:rsidRDefault="00D56EA7" w:rsidP="00D56EA7">
            <w:pPr>
              <w:spacing w:before="0"/>
            </w:pPr>
            <w:r>
              <w:t>No</w:t>
            </w:r>
          </w:p>
          <w:p w14:paraId="6E042DA8" w14:textId="0EFD2783"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0D9D78CB" w14:textId="35E3422C" w:rsidR="00D56EA7" w:rsidRDefault="00D56EA7" w:rsidP="00D56EA7">
            <w:pPr>
              <w:spacing w:before="0"/>
            </w:pPr>
            <w:r>
              <w:t>40(1) of the 2008 Benefit Regulations</w:t>
            </w:r>
          </w:p>
          <w:p w14:paraId="6835A665" w14:textId="77777777" w:rsidR="00D56EA7" w:rsidRDefault="00D56EA7" w:rsidP="00D56EA7">
            <w:pPr>
              <w:spacing w:before="0"/>
            </w:pPr>
            <w:r>
              <w:t>49(1) of the 1998 Regulations</w:t>
            </w:r>
          </w:p>
          <w:p w14:paraId="31587BE5" w14:textId="3BFC6E51" w:rsidR="00D56EA7" w:rsidRDefault="00D56EA7" w:rsidP="00D56EA7">
            <w:pPr>
              <w:spacing w:before="0" w:after="0"/>
            </w:pPr>
            <w:r>
              <w:t>4(1)(b) of the 1998 Transitional Regulations</w:t>
            </w:r>
          </w:p>
        </w:tc>
      </w:tr>
      <w:tr w:rsidR="00D56EA7" w14:paraId="53CE42CB" w14:textId="77777777" w:rsidTr="00AF5D4D">
        <w:trPr>
          <w:cantSplit/>
        </w:trPr>
        <w:tc>
          <w:tcPr>
            <w:tcW w:w="704" w:type="dxa"/>
          </w:tcPr>
          <w:p w14:paraId="052BD805" w14:textId="5438A5CE" w:rsidR="00D56EA7" w:rsidRDefault="00EC0C94" w:rsidP="00D56EA7">
            <w:pPr>
              <w:spacing w:before="0"/>
            </w:pPr>
            <w:r>
              <w:lastRenderedPageBreak/>
              <w:t>71</w:t>
            </w:r>
          </w:p>
        </w:tc>
        <w:tc>
          <w:tcPr>
            <w:tcW w:w="2126" w:type="dxa"/>
          </w:tcPr>
          <w:p w14:paraId="1C8C3998" w14:textId="76922BFF" w:rsidR="00D56EA7" w:rsidRPr="00756731" w:rsidRDefault="00D56EA7" w:rsidP="004A34E8">
            <w:pPr>
              <w:pStyle w:val="Heading3"/>
            </w:pPr>
            <w:bookmarkStart w:id="131" w:name="_Retirement_–_serious_1"/>
            <w:bookmarkEnd w:id="131"/>
            <w:r w:rsidRPr="00756731">
              <w:t>R</w:t>
            </w:r>
            <w:bookmarkStart w:id="132" w:name="_Toc177712037"/>
            <w:r w:rsidRPr="00756731">
              <w:t>etirement</w:t>
            </w:r>
            <w:bookmarkEnd w:id="132"/>
            <w:r w:rsidRPr="00756731">
              <w:t xml:space="preserve"> – serious ill health</w:t>
            </w:r>
          </w:p>
        </w:tc>
        <w:tc>
          <w:tcPr>
            <w:tcW w:w="3686" w:type="dxa"/>
          </w:tcPr>
          <w:p w14:paraId="42D8F500" w14:textId="78FFE0D2" w:rsidR="00D56EA7" w:rsidRDefault="00D56EA7" w:rsidP="00D56EA7">
            <w:pPr>
              <w:spacing w:before="0"/>
            </w:pPr>
            <w:r>
              <w:t>A pension credit member:</w:t>
            </w:r>
          </w:p>
          <w:p w14:paraId="183BE110" w14:textId="67375384" w:rsidR="00D56EA7" w:rsidRDefault="00D56EA7" w:rsidP="00D56EA7">
            <w:pPr>
              <w:pStyle w:val="ListBullet"/>
            </w:pPr>
            <w:r>
              <w:t xml:space="preserve">who was awarded the credit under the 1998 or 2009 </w:t>
            </w:r>
            <w:r w:rsidR="00603DF4">
              <w:t>s</w:t>
            </w:r>
            <w:r>
              <w:t>chemes,</w:t>
            </w:r>
          </w:p>
          <w:p w14:paraId="45176C0F" w14:textId="49D39B59" w:rsidR="00D56EA7" w:rsidRDefault="00D56EA7" w:rsidP="00D56EA7">
            <w:pPr>
              <w:pStyle w:val="ListBullet"/>
            </w:pPr>
            <w:r>
              <w:t>who is less than 65,</w:t>
            </w:r>
          </w:p>
          <w:p w14:paraId="66032F77" w14:textId="7F086031" w:rsidR="00D56EA7" w:rsidRDefault="00D56EA7" w:rsidP="00D56EA7">
            <w:pPr>
              <w:pStyle w:val="ListBullet"/>
            </w:pPr>
            <w:r>
              <w:t>whose pension credit benefits have not become payable, and</w:t>
            </w:r>
          </w:p>
          <w:p w14:paraId="48047B71" w14:textId="4088B4FB" w:rsidR="00D56EA7" w:rsidRDefault="00D56EA7" w:rsidP="00D56EA7">
            <w:pPr>
              <w:pStyle w:val="ListBullet"/>
            </w:pPr>
            <w:r>
              <w:t>who qualifies for a serious ill health lump sum.</w:t>
            </w:r>
          </w:p>
          <w:p w14:paraId="286E9F8E" w14:textId="77777777" w:rsidR="00D56EA7" w:rsidRDefault="00D56EA7" w:rsidP="00D56EA7">
            <w:r>
              <w:t>The credit will be awarded under these schemes if:</w:t>
            </w:r>
          </w:p>
          <w:p w14:paraId="26B730D6" w14:textId="77777777" w:rsidR="00D56EA7" w:rsidRDefault="00D56EA7" w:rsidP="00D56EA7">
            <w:pPr>
              <w:pStyle w:val="ListBullet"/>
            </w:pPr>
            <w:r>
              <w:t>the sharing order’s effective date was before April 2015, or</w:t>
            </w:r>
          </w:p>
          <w:p w14:paraId="4A8A31DE" w14:textId="4CE192DE" w:rsidR="00D56EA7" w:rsidRDefault="00D56EA7" w:rsidP="00D56EA7">
            <w:pPr>
              <w:pStyle w:val="ListBullet"/>
            </w:pPr>
            <w:r>
              <w:t>the debit member has no 2015 Scheme benefits.</w:t>
            </w:r>
          </w:p>
        </w:tc>
        <w:tc>
          <w:tcPr>
            <w:tcW w:w="4819" w:type="dxa"/>
          </w:tcPr>
          <w:p w14:paraId="32A7ED96" w14:textId="2DB5CB9E" w:rsidR="00D56EA7" w:rsidRDefault="00D56EA7" w:rsidP="00D56EA7">
            <w:pPr>
              <w:spacing w:before="0"/>
            </w:pPr>
            <w:r>
              <w:t>Decide whether to commute the annual pension into a serious ill health lump sum.</w:t>
            </w:r>
          </w:p>
        </w:tc>
        <w:tc>
          <w:tcPr>
            <w:tcW w:w="1701" w:type="dxa"/>
          </w:tcPr>
          <w:p w14:paraId="7018110D" w14:textId="77777777" w:rsidR="00D56EA7" w:rsidRDefault="00D56EA7" w:rsidP="00D56EA7">
            <w:pPr>
              <w:spacing w:before="0"/>
            </w:pPr>
            <w:r>
              <w:t>No</w:t>
            </w:r>
          </w:p>
          <w:p w14:paraId="6F526875" w14:textId="0DD644BF"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7D4F9602" w14:textId="4A5A2B8F" w:rsidR="00D56EA7" w:rsidRDefault="00D56EA7" w:rsidP="00D56EA7">
            <w:pPr>
              <w:spacing w:before="0"/>
            </w:pPr>
            <w:r>
              <w:t>99 of the 2008 Administration Regulations</w:t>
            </w:r>
          </w:p>
          <w:p w14:paraId="477E4FF5" w14:textId="403D818F" w:rsidR="00D56EA7" w:rsidRDefault="00D56EA7" w:rsidP="00D56EA7">
            <w:pPr>
              <w:spacing w:before="0"/>
            </w:pPr>
            <w:r>
              <w:t>154 of the 1998 Regulations</w:t>
            </w:r>
          </w:p>
        </w:tc>
      </w:tr>
      <w:tr w:rsidR="00D56EA7" w14:paraId="15D726BE" w14:textId="77777777" w:rsidTr="00AF5D4D">
        <w:trPr>
          <w:cantSplit/>
        </w:trPr>
        <w:tc>
          <w:tcPr>
            <w:tcW w:w="704" w:type="dxa"/>
          </w:tcPr>
          <w:p w14:paraId="1634B0AD" w14:textId="06666F38" w:rsidR="00D56EA7" w:rsidRDefault="00374289" w:rsidP="00D56EA7">
            <w:pPr>
              <w:spacing w:before="0"/>
            </w:pPr>
            <w:r>
              <w:lastRenderedPageBreak/>
              <w:t>7</w:t>
            </w:r>
            <w:r w:rsidR="00EC0C94">
              <w:t>2</w:t>
            </w:r>
          </w:p>
        </w:tc>
        <w:tc>
          <w:tcPr>
            <w:tcW w:w="2126" w:type="dxa"/>
          </w:tcPr>
          <w:p w14:paraId="06BD840E" w14:textId="29D06EC8" w:rsidR="00D56EA7" w:rsidRPr="00585487" w:rsidRDefault="00D56EA7" w:rsidP="004A34E8">
            <w:pPr>
              <w:pStyle w:val="Heading3"/>
            </w:pPr>
            <w:bookmarkStart w:id="133" w:name="_Transfers_out"/>
            <w:bookmarkEnd w:id="133"/>
            <w:r w:rsidRPr="00585487">
              <w:t>Transfers out</w:t>
            </w:r>
          </w:p>
        </w:tc>
        <w:tc>
          <w:tcPr>
            <w:tcW w:w="3686" w:type="dxa"/>
          </w:tcPr>
          <w:p w14:paraId="2F7FBA92" w14:textId="0A642972" w:rsidR="00D56EA7" w:rsidRDefault="00D56EA7" w:rsidP="00D56EA7">
            <w:pPr>
              <w:spacing w:before="0"/>
            </w:pPr>
            <w:r>
              <w:t>Two or more members whose active membership ends upon joining a different pension scheme.</w:t>
            </w:r>
          </w:p>
        </w:tc>
        <w:tc>
          <w:tcPr>
            <w:tcW w:w="4819" w:type="dxa"/>
          </w:tcPr>
          <w:p w14:paraId="159FD67F" w14:textId="667F670A" w:rsidR="00D56EA7" w:rsidRDefault="00D56EA7" w:rsidP="00D56EA7">
            <w:pPr>
              <w:spacing w:before="0"/>
            </w:pPr>
            <w:r>
              <w:t>Decide whether to calculate the transfers out of the LGPS fund as a bulk transfer.</w:t>
            </w:r>
          </w:p>
          <w:p w14:paraId="46B36842" w14:textId="53C0B02B" w:rsidR="00D56EA7" w:rsidRDefault="00D56EA7" w:rsidP="00D56EA7">
            <w:pPr>
              <w:spacing w:before="0"/>
            </w:pPr>
            <w:r>
              <w:t>If so, the employer, managers of the different scheme and members would also need to agree.</w:t>
            </w:r>
          </w:p>
          <w:p w14:paraId="52253054" w14:textId="76E98BB6" w:rsidR="00D56EA7" w:rsidRDefault="00D56EA7" w:rsidP="00D56EA7">
            <w:pPr>
              <w:spacing w:before="0" w:after="0"/>
            </w:pPr>
            <w:r>
              <w:t>You may not agree unless you are satisfied that the rights each member will acquire on the bulk transfer are at least the same as those they would have acquired on an individual transfer.</w:t>
            </w:r>
          </w:p>
        </w:tc>
        <w:tc>
          <w:tcPr>
            <w:tcW w:w="1701" w:type="dxa"/>
          </w:tcPr>
          <w:p w14:paraId="40D80792" w14:textId="77777777" w:rsidR="00D56EA7" w:rsidRDefault="00D56EA7" w:rsidP="00D56EA7">
            <w:pPr>
              <w:spacing w:before="0"/>
            </w:pPr>
            <w:r>
              <w:t>No</w:t>
            </w:r>
          </w:p>
          <w:p w14:paraId="77BBF6AE" w14:textId="0CC6C74A"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00F36E32" w14:textId="30BCFBA5" w:rsidR="00D56EA7" w:rsidRDefault="00D56EA7" w:rsidP="00D56EA7">
            <w:pPr>
              <w:spacing w:before="0"/>
            </w:pPr>
            <w:r>
              <w:t>93(1) of the 2018 Regulations</w:t>
            </w:r>
          </w:p>
        </w:tc>
      </w:tr>
      <w:tr w:rsidR="00D56EA7" w14:paraId="5289A861" w14:textId="77777777" w:rsidTr="00AF5D4D">
        <w:trPr>
          <w:cantSplit/>
        </w:trPr>
        <w:tc>
          <w:tcPr>
            <w:tcW w:w="704" w:type="dxa"/>
          </w:tcPr>
          <w:p w14:paraId="52365B86" w14:textId="0B54E3D1" w:rsidR="00D56EA7" w:rsidRDefault="00D56EA7" w:rsidP="00D56EA7">
            <w:pPr>
              <w:spacing w:before="0"/>
            </w:pPr>
            <w:r>
              <w:t>7</w:t>
            </w:r>
            <w:r w:rsidR="00EC0C94">
              <w:t>3</w:t>
            </w:r>
          </w:p>
        </w:tc>
        <w:tc>
          <w:tcPr>
            <w:tcW w:w="2126" w:type="dxa"/>
          </w:tcPr>
          <w:p w14:paraId="1722F55F" w14:textId="019F3983" w:rsidR="00D56EA7" w:rsidRPr="00585487" w:rsidRDefault="00D56EA7" w:rsidP="004A34E8">
            <w:pPr>
              <w:pStyle w:val="Heading3"/>
            </w:pPr>
            <w:bookmarkStart w:id="134" w:name="_Transfers_in"/>
            <w:bookmarkStart w:id="135" w:name="_Toc177712039"/>
            <w:bookmarkEnd w:id="134"/>
            <w:r w:rsidRPr="00585487">
              <w:t>Transfers</w:t>
            </w:r>
            <w:bookmarkEnd w:id="135"/>
            <w:r w:rsidRPr="00585487">
              <w:t xml:space="preserve"> in</w:t>
            </w:r>
          </w:p>
        </w:tc>
        <w:tc>
          <w:tcPr>
            <w:tcW w:w="3686" w:type="dxa"/>
          </w:tcPr>
          <w:p w14:paraId="1C0107D9" w14:textId="11882530" w:rsidR="00D56EA7" w:rsidRDefault="00D56EA7" w:rsidP="00D56EA7">
            <w:pPr>
              <w:spacing w:before="0"/>
            </w:pPr>
            <w:r>
              <w:t>An active member who:</w:t>
            </w:r>
          </w:p>
          <w:p w14:paraId="009339E2" w14:textId="7A635EDC" w:rsidR="00D56EA7" w:rsidRDefault="00D56EA7" w:rsidP="00D56EA7">
            <w:pPr>
              <w:pStyle w:val="ListBullet"/>
            </w:pPr>
            <w:r>
              <w:t>has duly elected to transfer in benefits from a different scheme, and</w:t>
            </w:r>
          </w:p>
          <w:p w14:paraId="332C0212" w14:textId="22334474" w:rsidR="00D56EA7" w:rsidRDefault="00D56EA7" w:rsidP="00D56EA7">
            <w:pPr>
              <w:pStyle w:val="ListBullet"/>
            </w:pPr>
            <w:r>
              <w:t>the transfer will be calculated under non-Club rules.</w:t>
            </w:r>
          </w:p>
        </w:tc>
        <w:tc>
          <w:tcPr>
            <w:tcW w:w="4819" w:type="dxa"/>
          </w:tcPr>
          <w:p w14:paraId="3A584E19" w14:textId="7E39484F" w:rsidR="00D56EA7" w:rsidRDefault="00D56EA7" w:rsidP="00D56EA7">
            <w:pPr>
              <w:spacing w:before="0"/>
            </w:pPr>
            <w:r>
              <w:t>Decide whether to accept the transfer.</w:t>
            </w:r>
          </w:p>
        </w:tc>
        <w:tc>
          <w:tcPr>
            <w:tcW w:w="1701" w:type="dxa"/>
          </w:tcPr>
          <w:p w14:paraId="042CA1AF" w14:textId="77777777" w:rsidR="00D56EA7" w:rsidRDefault="00D56EA7" w:rsidP="00D56EA7">
            <w:pPr>
              <w:spacing w:before="0"/>
            </w:pPr>
            <w:r>
              <w:t>No</w:t>
            </w:r>
          </w:p>
          <w:p w14:paraId="68B8DB96" w14:textId="6C1F3477" w:rsidR="00D56EA7" w:rsidRPr="00537C83"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16CD06C6" w14:textId="182B5D29" w:rsidR="00D56EA7" w:rsidRDefault="00D56EA7" w:rsidP="00D56EA7">
            <w:pPr>
              <w:spacing w:before="0"/>
            </w:pPr>
            <w:r>
              <w:t>95(7) of the 2018 Regulations</w:t>
            </w:r>
          </w:p>
        </w:tc>
      </w:tr>
      <w:tr w:rsidR="00D56EA7" w14:paraId="26B57E8E" w14:textId="77777777" w:rsidTr="00AF5D4D">
        <w:trPr>
          <w:cantSplit/>
        </w:trPr>
        <w:tc>
          <w:tcPr>
            <w:tcW w:w="704" w:type="dxa"/>
          </w:tcPr>
          <w:p w14:paraId="570C8F3C" w14:textId="725A1E79" w:rsidR="00D56EA7" w:rsidRDefault="00D56EA7" w:rsidP="00D56EA7">
            <w:pPr>
              <w:spacing w:before="0"/>
            </w:pPr>
            <w:r>
              <w:lastRenderedPageBreak/>
              <w:t>7</w:t>
            </w:r>
            <w:r w:rsidR="00EC0C94">
              <w:t>4</w:t>
            </w:r>
          </w:p>
        </w:tc>
        <w:tc>
          <w:tcPr>
            <w:tcW w:w="2126" w:type="dxa"/>
          </w:tcPr>
          <w:p w14:paraId="284706B6" w14:textId="7814F51F" w:rsidR="00D56EA7" w:rsidRPr="00DE130C" w:rsidRDefault="00D56EA7" w:rsidP="004A34E8">
            <w:pPr>
              <w:pStyle w:val="Heading3"/>
            </w:pPr>
            <w:bookmarkStart w:id="136" w:name="_Trivial_commutation"/>
            <w:bookmarkEnd w:id="136"/>
            <w:r w:rsidRPr="00DE130C">
              <w:t>Trivial commutation</w:t>
            </w:r>
          </w:p>
        </w:tc>
        <w:tc>
          <w:tcPr>
            <w:tcW w:w="3686" w:type="dxa"/>
          </w:tcPr>
          <w:p w14:paraId="47D93EBF" w14:textId="6AC9A987" w:rsidR="00D56EA7" w:rsidRDefault="00D56EA7" w:rsidP="00D56EA7">
            <w:pPr>
              <w:spacing w:before="0"/>
            </w:pPr>
            <w:r>
              <w:t>A member, or survivor of such a member, who qualifies to trivially commute their benefits.</w:t>
            </w:r>
          </w:p>
        </w:tc>
        <w:tc>
          <w:tcPr>
            <w:tcW w:w="4819" w:type="dxa"/>
          </w:tcPr>
          <w:p w14:paraId="7448FBED" w14:textId="412BC974" w:rsidR="00D56EA7" w:rsidRDefault="00D56EA7" w:rsidP="00D56EA7">
            <w:pPr>
              <w:spacing w:before="0"/>
            </w:pPr>
            <w:r>
              <w:t>Decide whether to trivially commute the benefits.</w:t>
            </w:r>
          </w:p>
        </w:tc>
        <w:tc>
          <w:tcPr>
            <w:tcW w:w="1701" w:type="dxa"/>
          </w:tcPr>
          <w:p w14:paraId="5DA0E8EF" w14:textId="77777777" w:rsidR="00D56EA7" w:rsidRDefault="00D56EA7" w:rsidP="00D56EA7">
            <w:pPr>
              <w:spacing w:before="0"/>
            </w:pPr>
            <w:r>
              <w:t>No</w:t>
            </w:r>
          </w:p>
          <w:p w14:paraId="2EF5AB6F" w14:textId="3203FA2A"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12FE9297" w14:textId="213F2294" w:rsidR="00D56EA7" w:rsidRDefault="00D56EA7" w:rsidP="00D56EA7">
            <w:pPr>
              <w:spacing w:before="0"/>
              <w:rPr>
                <w:rStyle w:val="Hyperlink"/>
              </w:rPr>
            </w:pPr>
            <w:r>
              <w:t>33(1) of the 2018 Regulations</w:t>
            </w:r>
          </w:p>
          <w:p w14:paraId="0E51F2E7" w14:textId="4EDCDB1B" w:rsidR="00D56EA7" w:rsidRDefault="00D56EA7" w:rsidP="00D56EA7">
            <w:pPr>
              <w:spacing w:before="0"/>
            </w:pPr>
            <w:r>
              <w:t>39(1) of 2008 Benefit Regulations 2007</w:t>
            </w:r>
          </w:p>
          <w:p w14:paraId="2733C646" w14:textId="219F6E5D" w:rsidR="00D56EA7" w:rsidRDefault="00D56EA7" w:rsidP="00D56EA7">
            <w:pPr>
              <w:spacing w:before="0"/>
            </w:pPr>
            <w:r>
              <w:t>48(1) of the 1998 Regulations</w:t>
            </w:r>
          </w:p>
          <w:p w14:paraId="21BE9060" w14:textId="16283C31" w:rsidR="00D56EA7" w:rsidRDefault="00D56EA7" w:rsidP="00D56EA7">
            <w:pPr>
              <w:spacing w:before="0" w:after="0"/>
            </w:pPr>
            <w:r>
              <w:t>4(1)(b) of the 1998 Regulations</w:t>
            </w:r>
          </w:p>
        </w:tc>
      </w:tr>
      <w:tr w:rsidR="00D56EA7" w14:paraId="0917B76E" w14:textId="77777777" w:rsidTr="00AF5D4D">
        <w:trPr>
          <w:cantSplit/>
        </w:trPr>
        <w:tc>
          <w:tcPr>
            <w:tcW w:w="704" w:type="dxa"/>
          </w:tcPr>
          <w:p w14:paraId="77899AAA" w14:textId="467888AD" w:rsidR="00D56EA7" w:rsidRDefault="00D56EA7" w:rsidP="00D56EA7">
            <w:pPr>
              <w:spacing w:before="0"/>
            </w:pPr>
            <w:r>
              <w:lastRenderedPageBreak/>
              <w:t>7</w:t>
            </w:r>
            <w:r w:rsidR="00EC0C94">
              <w:t>5</w:t>
            </w:r>
          </w:p>
        </w:tc>
        <w:tc>
          <w:tcPr>
            <w:tcW w:w="2126" w:type="dxa"/>
          </w:tcPr>
          <w:p w14:paraId="09CC42F9" w14:textId="236BBEF6" w:rsidR="00D56EA7" w:rsidRPr="00F91EE6" w:rsidRDefault="00D56EA7" w:rsidP="004A34E8">
            <w:pPr>
              <w:pStyle w:val="Heading3"/>
            </w:pPr>
            <w:bookmarkStart w:id="137" w:name="_Trivial_commutation_1"/>
            <w:bookmarkStart w:id="138" w:name="_Toc177712041"/>
            <w:bookmarkEnd w:id="137"/>
            <w:r w:rsidRPr="00F91EE6">
              <w:t>Trivial commutation</w:t>
            </w:r>
            <w:bookmarkEnd w:id="138"/>
          </w:p>
        </w:tc>
        <w:tc>
          <w:tcPr>
            <w:tcW w:w="3686" w:type="dxa"/>
          </w:tcPr>
          <w:p w14:paraId="7C31EF3E" w14:textId="47DC46AD" w:rsidR="00D56EA7" w:rsidRDefault="00D56EA7" w:rsidP="00D56EA7">
            <w:pPr>
              <w:spacing w:before="0"/>
            </w:pPr>
            <w:r>
              <w:t>A pension credit member who qualifies to trivially commute their benefits.</w:t>
            </w:r>
          </w:p>
        </w:tc>
        <w:tc>
          <w:tcPr>
            <w:tcW w:w="4819" w:type="dxa"/>
          </w:tcPr>
          <w:p w14:paraId="22B424D9" w14:textId="68902506" w:rsidR="00D56EA7" w:rsidRDefault="00D56EA7" w:rsidP="00D56EA7">
            <w:pPr>
              <w:spacing w:before="0"/>
            </w:pPr>
            <w:r>
              <w:t>Decide whether to trivially commute the benefits.</w:t>
            </w:r>
          </w:p>
        </w:tc>
        <w:tc>
          <w:tcPr>
            <w:tcW w:w="1701" w:type="dxa"/>
          </w:tcPr>
          <w:p w14:paraId="2631AAC7" w14:textId="77777777" w:rsidR="00D56EA7" w:rsidRDefault="00D56EA7" w:rsidP="00D56EA7">
            <w:pPr>
              <w:spacing w:before="0"/>
            </w:pPr>
            <w:r>
              <w:t>No</w:t>
            </w:r>
          </w:p>
          <w:p w14:paraId="73F64E1A" w14:textId="1B0EE9F2"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44ADA1C1" w14:textId="3A4EFA20" w:rsidR="00D56EA7" w:rsidRDefault="00D56EA7" w:rsidP="00D56EA7">
            <w:pPr>
              <w:spacing w:before="0"/>
              <w:rPr>
                <w:rStyle w:val="Hyperlink"/>
              </w:rPr>
            </w:pPr>
            <w:r>
              <w:t>33(1) of the 2018 Regulations</w:t>
            </w:r>
          </w:p>
          <w:p w14:paraId="613AE4A9" w14:textId="14CD83E5" w:rsidR="00D56EA7" w:rsidRDefault="00D56EA7" w:rsidP="00D56EA7">
            <w:pPr>
              <w:spacing w:before="0"/>
            </w:pPr>
            <w:r>
              <w:t>98 of the 2008 Administration Regulations</w:t>
            </w:r>
          </w:p>
          <w:p w14:paraId="4B1F4144" w14:textId="65A9A9FC" w:rsidR="00D56EA7" w:rsidRDefault="00D56EA7" w:rsidP="00D56EA7">
            <w:pPr>
              <w:spacing w:before="0" w:after="0"/>
            </w:pPr>
            <w:r>
              <w:t>153 of the 1998 Regulations</w:t>
            </w:r>
          </w:p>
        </w:tc>
      </w:tr>
      <w:tr w:rsidR="00D56EA7" w14:paraId="6CA9A00F" w14:textId="77777777" w:rsidTr="00AF5D4D">
        <w:trPr>
          <w:cantSplit/>
        </w:trPr>
        <w:tc>
          <w:tcPr>
            <w:tcW w:w="704" w:type="dxa"/>
          </w:tcPr>
          <w:p w14:paraId="0DCDA714" w14:textId="00812093" w:rsidR="00D56EA7" w:rsidRDefault="00D56EA7" w:rsidP="00D56EA7">
            <w:pPr>
              <w:spacing w:before="0"/>
            </w:pPr>
            <w:r>
              <w:t>7</w:t>
            </w:r>
            <w:r w:rsidR="00EC0C94">
              <w:t>6</w:t>
            </w:r>
          </w:p>
        </w:tc>
        <w:tc>
          <w:tcPr>
            <w:tcW w:w="2126" w:type="dxa"/>
          </w:tcPr>
          <w:p w14:paraId="258F5E6B" w14:textId="41C243F6" w:rsidR="00D56EA7" w:rsidRPr="00D44A20" w:rsidRDefault="00D56EA7" w:rsidP="004A34E8">
            <w:pPr>
              <w:pStyle w:val="Heading3"/>
            </w:pPr>
            <w:bookmarkStart w:id="139" w:name="_Voluntary_scheme_pays"/>
            <w:bookmarkEnd w:id="139"/>
            <w:r w:rsidRPr="00D44A20">
              <w:t>Voluntary scheme pays</w:t>
            </w:r>
          </w:p>
        </w:tc>
        <w:tc>
          <w:tcPr>
            <w:tcW w:w="3686" w:type="dxa"/>
          </w:tcPr>
          <w:p w14:paraId="194DE708" w14:textId="77777777" w:rsidR="00D56EA7" w:rsidRDefault="00D56EA7" w:rsidP="00D56EA7">
            <w:pPr>
              <w:spacing w:before="0"/>
            </w:pPr>
            <w:r>
              <w:t>A member who:</w:t>
            </w:r>
          </w:p>
          <w:p w14:paraId="0CB94335" w14:textId="5BAEC470" w:rsidR="00D56EA7" w:rsidRDefault="00D56EA7" w:rsidP="00D56EA7">
            <w:pPr>
              <w:pStyle w:val="ListBullet"/>
            </w:pPr>
            <w:r>
              <w:t>has an annual allowance tax charge,</w:t>
            </w:r>
          </w:p>
          <w:p w14:paraId="1AA041EC" w14:textId="77777777" w:rsidR="00D56EA7" w:rsidRDefault="00D56EA7" w:rsidP="00D56EA7">
            <w:pPr>
              <w:pStyle w:val="ListBullet"/>
            </w:pPr>
            <w:r>
              <w:t>does not qualify for mandatory scheme pays, and</w:t>
            </w:r>
          </w:p>
          <w:p w14:paraId="0825F289" w14:textId="70E85EDE" w:rsidR="00D56EA7" w:rsidRDefault="00D56EA7" w:rsidP="00D56EA7">
            <w:pPr>
              <w:pStyle w:val="ListBullet"/>
            </w:pPr>
            <w:r>
              <w:t>wants the authority to pay some or all of the charge.</w:t>
            </w:r>
          </w:p>
        </w:tc>
        <w:tc>
          <w:tcPr>
            <w:tcW w:w="4819" w:type="dxa"/>
          </w:tcPr>
          <w:p w14:paraId="32D62612" w14:textId="11023643" w:rsidR="00D56EA7" w:rsidRDefault="00D56EA7" w:rsidP="00D56EA7">
            <w:pPr>
              <w:spacing w:before="0"/>
            </w:pPr>
            <w:r>
              <w:t>Decide whether you can legally agree to offer voluntary scheme pays and, if so, the circumstances, if any, upon which you would do so.</w:t>
            </w:r>
          </w:p>
        </w:tc>
        <w:tc>
          <w:tcPr>
            <w:tcW w:w="1701" w:type="dxa"/>
          </w:tcPr>
          <w:p w14:paraId="6DFA302B" w14:textId="2F13B92B" w:rsidR="00D56EA7" w:rsidRDefault="00D56EA7" w:rsidP="00D56EA7">
            <w:pPr>
              <w:spacing w:before="0"/>
            </w:pPr>
            <w:r>
              <w:t>No</w:t>
            </w:r>
          </w:p>
          <w:p w14:paraId="5C7F5222" w14:textId="09933B99" w:rsidR="00D56EA7" w:rsidRDefault="00D56EA7" w:rsidP="00D56EA7">
            <w:pPr>
              <w:spacing w:before="0"/>
            </w:pPr>
            <w:r w:rsidRPr="00D95EC6">
              <w:t xml:space="preserve">See </w:t>
            </w:r>
            <w:hyperlink w:anchor="_Note_1" w:history="1">
              <w:r w:rsidRPr="00D95EC6">
                <w:rPr>
                  <w:rStyle w:val="Hyperlink"/>
                </w:rPr>
                <w:t>Note 1</w:t>
              </w:r>
            </w:hyperlink>
          </w:p>
        </w:tc>
        <w:tc>
          <w:tcPr>
            <w:tcW w:w="1843" w:type="dxa"/>
          </w:tcPr>
          <w:p w14:paraId="1B7EDB23" w14:textId="4126B71D" w:rsidR="00D56EA7" w:rsidRDefault="00D56EA7" w:rsidP="00D56EA7">
            <w:pPr>
              <w:spacing w:before="0"/>
            </w:pPr>
            <w:r>
              <w:t>2 of the 2011 Modification Regulations</w:t>
            </w:r>
          </w:p>
        </w:tc>
      </w:tr>
    </w:tbl>
    <w:p w14:paraId="4738C0B6" w14:textId="27279702" w:rsidR="00C0743B" w:rsidRPr="009612C4" w:rsidRDefault="00C0743B" w:rsidP="009612C4">
      <w:pPr>
        <w:sectPr w:rsidR="00C0743B" w:rsidRPr="009612C4" w:rsidSect="00AF4F1F">
          <w:pgSz w:w="16838" w:h="11906" w:orient="landscape"/>
          <w:pgMar w:top="1440" w:right="1440" w:bottom="1440" w:left="1440" w:header="709" w:footer="709" w:gutter="0"/>
          <w:cols w:space="708"/>
          <w:docGrid w:linePitch="360"/>
        </w:sectPr>
      </w:pPr>
    </w:p>
    <w:p w14:paraId="77EA7B3D" w14:textId="304D1F70" w:rsidR="00FE6F79" w:rsidRPr="00A85764" w:rsidRDefault="00044620" w:rsidP="00A85764">
      <w:pPr>
        <w:pStyle w:val="Heading2"/>
      </w:pPr>
      <w:bookmarkStart w:id="140" w:name="_Meaning_of_terms"/>
      <w:bookmarkStart w:id="141" w:name="_Information_on_formulating,"/>
      <w:bookmarkStart w:id="142" w:name="_Information_on_formulating"/>
      <w:bookmarkStart w:id="143" w:name="_Toc177655820"/>
      <w:bookmarkStart w:id="144" w:name="_Toc197699107"/>
      <w:bookmarkEnd w:id="140"/>
      <w:bookmarkEnd w:id="141"/>
      <w:bookmarkEnd w:id="142"/>
      <w:r w:rsidRPr="00A85764">
        <w:lastRenderedPageBreak/>
        <w:t>Information on formulating</w:t>
      </w:r>
      <w:r w:rsidR="008D6F38" w:rsidRPr="00A85764">
        <w:t xml:space="preserve"> and </w:t>
      </w:r>
      <w:r w:rsidRPr="00A85764">
        <w:t>publishing discretions</w:t>
      </w:r>
      <w:bookmarkEnd w:id="143"/>
      <w:bookmarkEnd w:id="144"/>
    </w:p>
    <w:p w14:paraId="4A7A2C6F" w14:textId="6B14D8AB" w:rsidR="00C7162D" w:rsidRDefault="00C7162D" w:rsidP="00C7162D">
      <w:pPr>
        <w:pStyle w:val="Heading3"/>
      </w:pPr>
      <w:bookmarkStart w:id="145" w:name="_Note_1"/>
      <w:bookmarkStart w:id="146" w:name="_Note_1_–"/>
      <w:bookmarkStart w:id="147" w:name="_Toc177712044"/>
      <w:bookmarkEnd w:id="145"/>
      <w:bookmarkEnd w:id="146"/>
      <w:r>
        <w:t>Note 1</w:t>
      </w:r>
      <w:r w:rsidR="00A23460">
        <w:t xml:space="preserve"> – no written policy statement required</w:t>
      </w:r>
      <w:bookmarkEnd w:id="147"/>
    </w:p>
    <w:p w14:paraId="370EE180" w14:textId="1AE69ED8" w:rsidR="00B24F58" w:rsidRDefault="000F21FB" w:rsidP="00C7162D">
      <w:r>
        <w:t>Regarding</w:t>
      </w:r>
      <w:r w:rsidR="00A23460">
        <w:t xml:space="preserve"> exercising cer</w:t>
      </w:r>
      <w:r w:rsidR="000A5A6B">
        <w:t xml:space="preserve">tain discretions, </w:t>
      </w:r>
      <w:r w:rsidR="00EB73F0">
        <w:t xml:space="preserve">while </w:t>
      </w:r>
      <w:r w:rsidR="000A5A6B">
        <w:t xml:space="preserve">the regulations do </w:t>
      </w:r>
      <w:r w:rsidR="00573D8F">
        <w:t xml:space="preserve">not require the administering authority to </w:t>
      </w:r>
      <w:r w:rsidR="0034174A">
        <w:t xml:space="preserve">set out their policy </w:t>
      </w:r>
      <w:r w:rsidR="00300F58">
        <w:t>in a written statement</w:t>
      </w:r>
      <w:r w:rsidR="00EB73F0">
        <w:t xml:space="preserve">, </w:t>
      </w:r>
      <w:r w:rsidR="00BE05C6">
        <w:t xml:space="preserve">we recommend doing so to promote </w:t>
      </w:r>
      <w:r w:rsidR="000105E5">
        <w:t>strong governance</w:t>
      </w:r>
      <w:r w:rsidR="00BE05C6">
        <w:t>.</w:t>
      </w:r>
    </w:p>
    <w:p w14:paraId="1C3E1425" w14:textId="2A863AB1" w:rsidR="00C7162D" w:rsidRDefault="00C7162D" w:rsidP="00C7162D">
      <w:pPr>
        <w:pStyle w:val="Heading3"/>
      </w:pPr>
      <w:bookmarkStart w:id="148" w:name="_Note_2"/>
      <w:bookmarkStart w:id="149" w:name="_Note_2_–"/>
      <w:bookmarkStart w:id="150" w:name="_Toc177712045"/>
      <w:bookmarkEnd w:id="148"/>
      <w:bookmarkEnd w:id="149"/>
      <w:r>
        <w:t>Note 2</w:t>
      </w:r>
      <w:bookmarkEnd w:id="150"/>
      <w:r w:rsidR="00080A67">
        <w:t xml:space="preserve"> – written policy required under the LGPS regulations</w:t>
      </w:r>
    </w:p>
    <w:p w14:paraId="5AC1BCD5" w14:textId="121B821A" w:rsidR="00671014" w:rsidRDefault="00671014" w:rsidP="00671014">
      <w:r>
        <w:t xml:space="preserve">This note applies to administering authorities who are exercising the power under regulation 58 of the 2018 Regulations to waive actuarial reductions or apply the rule of 85 in full on behalf of employers who no longer participate in the </w:t>
      </w:r>
      <w:r w:rsidR="00AF1B4E">
        <w:t>LGPS</w:t>
      </w:r>
      <w:r>
        <w:t>.</w:t>
      </w:r>
    </w:p>
    <w:p w14:paraId="4DF1A957" w14:textId="37684A15" w:rsidR="00E437AB" w:rsidRDefault="00E437AB" w:rsidP="00C7162D">
      <w:r w:rsidRPr="00E437AB">
        <w:t xml:space="preserve">The regulations require the </w:t>
      </w:r>
      <w:r w:rsidR="00FF59F5">
        <w:t>administering authority</w:t>
      </w:r>
      <w:r w:rsidRPr="00E437AB">
        <w:t xml:space="preserve"> to prepare a written statement of its policy on exercising </w:t>
      </w:r>
      <w:r w:rsidR="00671014">
        <w:t>the</w:t>
      </w:r>
      <w:r w:rsidRPr="00E437AB">
        <w:t xml:space="preserve"> discretions</w:t>
      </w:r>
      <w:r w:rsidR="00E90BF0">
        <w:t>.</w:t>
      </w:r>
    </w:p>
    <w:p w14:paraId="0CBEAA72" w14:textId="15A9F46B" w:rsidR="000B1D81" w:rsidRDefault="002B3CD5" w:rsidP="00C7162D">
      <w:r>
        <w:t xml:space="preserve">The </w:t>
      </w:r>
      <w:r w:rsidR="00FF59F5">
        <w:t>authority</w:t>
      </w:r>
      <w:r>
        <w:t xml:space="preserve"> must keep their statement under review</w:t>
      </w:r>
      <w:r w:rsidR="005921A4">
        <w:t xml:space="preserve"> and, if </w:t>
      </w:r>
      <w:r w:rsidR="002A614D">
        <w:t xml:space="preserve">it changes its policy, </w:t>
      </w:r>
      <w:r w:rsidR="00C51CB3">
        <w:t>make such revisions as are appropriate.</w:t>
      </w:r>
    </w:p>
    <w:p w14:paraId="60FC03C6" w14:textId="0116EDE2" w:rsidR="00C40090" w:rsidRDefault="00A56C9A" w:rsidP="00C40090">
      <w:r>
        <w:t xml:space="preserve">When preparing, reviewing and revising the statement, </w:t>
      </w:r>
      <w:r w:rsidR="00095763">
        <w:t xml:space="preserve">the </w:t>
      </w:r>
      <w:r w:rsidR="00FF59F5">
        <w:t>authority</w:t>
      </w:r>
      <w:r w:rsidR="00095763">
        <w:t xml:space="preserve"> must consider whet</w:t>
      </w:r>
      <w:r w:rsidR="00330932">
        <w:t>her</w:t>
      </w:r>
      <w:r w:rsidR="00095763">
        <w:t xml:space="preserve"> </w:t>
      </w:r>
      <w:r w:rsidR="00E12DEC">
        <w:t>there is a risk</w:t>
      </w:r>
      <w:r w:rsidR="00566731">
        <w:t xml:space="preserve">, </w:t>
      </w:r>
      <w:r w:rsidR="00E12DEC">
        <w:t>and if so, the extent of that risk</w:t>
      </w:r>
      <w:r w:rsidR="00566731">
        <w:t>,</w:t>
      </w:r>
      <w:r w:rsidR="00E12DEC">
        <w:t xml:space="preserve"> </w:t>
      </w:r>
      <w:r w:rsidR="009615F7">
        <w:t xml:space="preserve">that </w:t>
      </w:r>
      <w:r w:rsidR="00330932">
        <w:t>exercising the discretion in accordance with the policy could lead to a serious loss of confidence in the public service.</w:t>
      </w:r>
    </w:p>
    <w:p w14:paraId="00B78805" w14:textId="482799C7" w:rsidR="00C8374E" w:rsidRPr="004B3A67" w:rsidRDefault="00C8374E" w:rsidP="004B3A67">
      <w:pPr>
        <w:pStyle w:val="Heading3"/>
        <w:spacing w:before="240"/>
      </w:pPr>
      <w:bookmarkStart w:id="151" w:name="_Note_3_–"/>
      <w:bookmarkStart w:id="152" w:name="_Note_4_–"/>
      <w:bookmarkStart w:id="153" w:name="_Note_6_–"/>
      <w:bookmarkStart w:id="154" w:name="_Note_5_–"/>
      <w:bookmarkStart w:id="155" w:name="_Appropriate_rate"/>
      <w:bookmarkStart w:id="156" w:name="_Contracted-out_membership_after"/>
      <w:bookmarkStart w:id="157" w:name="_Note_6_-"/>
      <w:bookmarkStart w:id="158" w:name="_Note_4_-"/>
      <w:bookmarkStart w:id="159" w:name="_Note_3_-"/>
      <w:bookmarkStart w:id="160" w:name="_Toc177712049"/>
      <w:bookmarkEnd w:id="151"/>
      <w:bookmarkEnd w:id="152"/>
      <w:bookmarkEnd w:id="153"/>
      <w:bookmarkEnd w:id="154"/>
      <w:bookmarkEnd w:id="155"/>
      <w:bookmarkEnd w:id="156"/>
      <w:bookmarkEnd w:id="157"/>
      <w:bookmarkEnd w:id="158"/>
      <w:bookmarkEnd w:id="159"/>
      <w:r w:rsidRPr="004B3A67">
        <w:t xml:space="preserve">Note </w:t>
      </w:r>
      <w:r w:rsidR="00A02D9D">
        <w:t>3</w:t>
      </w:r>
      <w:r w:rsidRPr="004B3A67">
        <w:t xml:space="preserve"> </w:t>
      </w:r>
      <w:r w:rsidR="00D365DB">
        <w:t>–</w:t>
      </w:r>
      <w:r w:rsidRPr="004B3A67">
        <w:t xml:space="preserve"> Abatement discretions</w:t>
      </w:r>
      <w:bookmarkEnd w:id="160"/>
    </w:p>
    <w:p w14:paraId="2ED5E36F" w14:textId="1B0A0313" w:rsidR="00A017BA" w:rsidRDefault="0014011C" w:rsidP="00CB0531">
      <w:r>
        <w:t xml:space="preserve">Under regulation 109 of the </w:t>
      </w:r>
      <w:r w:rsidR="00AC3F35">
        <w:t xml:space="preserve">1998 </w:t>
      </w:r>
      <w:r>
        <w:t xml:space="preserve">Regulations </w:t>
      </w:r>
      <w:r w:rsidR="00016F20">
        <w:t xml:space="preserve">and regulation 64 of </w:t>
      </w:r>
      <w:r w:rsidR="00AC3F35">
        <w:t>the 2008 Administration Regulations</w:t>
      </w:r>
      <w:r>
        <w:t>, e</w:t>
      </w:r>
      <w:r w:rsidR="009A6E3A">
        <w:t xml:space="preserve">ach </w:t>
      </w:r>
      <w:r>
        <w:t>adminis</w:t>
      </w:r>
      <w:r w:rsidR="00461C61">
        <w:t xml:space="preserve">tering </w:t>
      </w:r>
      <w:r w:rsidR="009A6E3A">
        <w:t xml:space="preserve">authority </w:t>
      </w:r>
      <w:r w:rsidR="00666AD5">
        <w:t>must have</w:t>
      </w:r>
      <w:r w:rsidR="009A6E3A">
        <w:t xml:space="preserve"> formulate</w:t>
      </w:r>
      <w:r w:rsidR="00666AD5">
        <w:t>d</w:t>
      </w:r>
      <w:r w:rsidR="009A6E3A">
        <w:t xml:space="preserve"> its policy on abatement.</w:t>
      </w:r>
      <w:r w:rsidR="000541F3">
        <w:t xml:space="preserve"> </w:t>
      </w:r>
      <w:r w:rsidR="007508BD">
        <w:t>The policy must set out the extent</w:t>
      </w:r>
      <w:r w:rsidR="00EB7F85">
        <w:t>, if any,</w:t>
      </w:r>
      <w:r w:rsidR="000541F3">
        <w:t xml:space="preserve"> to whi</w:t>
      </w:r>
      <w:r w:rsidR="006D19D4">
        <w:t>ch the pension will be reduced or suspended during re-employment.</w:t>
      </w:r>
    </w:p>
    <w:p w14:paraId="7BB8594E" w14:textId="77777777" w:rsidR="00E0689F" w:rsidRDefault="00A017BA" w:rsidP="00CB0531">
      <w:r>
        <w:t xml:space="preserve">Before </w:t>
      </w:r>
      <w:r w:rsidR="006447D2">
        <w:t>it formulated its policy, the administering authority should have consulted with its employers.</w:t>
      </w:r>
      <w:r w:rsidR="00107DF9">
        <w:t xml:space="preserve"> The authority should also have published a statement of its policy</w:t>
      </w:r>
      <w:r w:rsidR="006734E1">
        <w:t xml:space="preserve"> by</w:t>
      </w:r>
      <w:r w:rsidR="00E0689F">
        <w:t>:</w:t>
      </w:r>
    </w:p>
    <w:p w14:paraId="53432C85" w14:textId="77777777" w:rsidR="00E0689F" w:rsidRDefault="002A7C8E" w:rsidP="00E0689F">
      <w:pPr>
        <w:pStyle w:val="ListBullet"/>
      </w:pPr>
      <w:r>
        <w:t>1 July 1998 – 1998 Regulations</w:t>
      </w:r>
    </w:p>
    <w:p w14:paraId="1D7DB45F" w14:textId="08CE00C9" w:rsidR="00E0689F" w:rsidRDefault="000670B0" w:rsidP="00E0689F">
      <w:pPr>
        <w:pStyle w:val="ListBullet"/>
      </w:pPr>
      <w:r>
        <w:t>1 July 2009 – 2008 Administration Regulations</w:t>
      </w:r>
      <w:r w:rsidR="00107DF9">
        <w:t>.</w:t>
      </w:r>
    </w:p>
    <w:p w14:paraId="3AA6B658" w14:textId="530FBACA" w:rsidR="00D81387" w:rsidRDefault="00107DF9" w:rsidP="00E0689F">
      <w:r>
        <w:t xml:space="preserve">The policy will apply to members who become re-employed </w:t>
      </w:r>
      <w:r w:rsidR="00DD306F">
        <w:t>on or after the date the authority publishes the statement.</w:t>
      </w:r>
    </w:p>
    <w:p w14:paraId="5E7744E4" w14:textId="74A7D36E" w:rsidR="00A303BA" w:rsidRDefault="008D6F38" w:rsidP="00CB0531">
      <w:r>
        <w:t>I</w:t>
      </w:r>
      <w:r w:rsidR="00A303BA">
        <w:t xml:space="preserve">n formulating its policy, the authority must </w:t>
      </w:r>
      <w:r w:rsidR="00185384">
        <w:t>consider</w:t>
      </w:r>
      <w:r w:rsidR="00A303BA">
        <w:t>:</w:t>
      </w:r>
    </w:p>
    <w:p w14:paraId="0A6BDE85" w14:textId="6B2D80CB" w:rsidR="00A303BA" w:rsidRDefault="006A2B41" w:rsidP="00A303BA">
      <w:pPr>
        <w:pStyle w:val="ListBullet"/>
      </w:pPr>
      <w:r>
        <w:lastRenderedPageBreak/>
        <w:t>the level of potential financial gain at which they wish abatement to apply</w:t>
      </w:r>
      <w:r w:rsidR="00354D11">
        <w:t>,</w:t>
      </w:r>
    </w:p>
    <w:p w14:paraId="602F8777" w14:textId="0426ECFD" w:rsidR="006A2B41" w:rsidRDefault="006A2B41" w:rsidP="00A303BA">
      <w:pPr>
        <w:pStyle w:val="ListBullet"/>
      </w:pPr>
      <w:r>
        <w:t xml:space="preserve">the administrative costs likely to be incurred </w:t>
      </w:r>
      <w:r w:rsidR="003A73E4">
        <w:t>because of</w:t>
      </w:r>
      <w:r>
        <w:t xml:space="preserve"> abatement in different circumstances</w:t>
      </w:r>
      <w:r w:rsidR="00354D11">
        <w:t>, and</w:t>
      </w:r>
    </w:p>
    <w:p w14:paraId="035A766C" w14:textId="1C97D840" w:rsidR="00033CB5" w:rsidRDefault="00354D11" w:rsidP="008F3996">
      <w:pPr>
        <w:pStyle w:val="ListBullet"/>
      </w:pPr>
      <w:r>
        <w:t>the extent to which a policy not to abate could lead to a serious loss of confidence in the public service.</w:t>
      </w:r>
    </w:p>
    <w:p w14:paraId="084FC161" w14:textId="78E98632" w:rsidR="008F3996" w:rsidRDefault="004B55CE" w:rsidP="004B55CE">
      <w:r>
        <w:t>The reference to ‘financial gain’ is a reference to the financial gain which it appears to the authority may be obtained by a member from being entitled to both the pension and pay from the new employment.</w:t>
      </w:r>
    </w:p>
    <w:p w14:paraId="60046858" w14:textId="00C05B45" w:rsidR="00F82C0D" w:rsidRDefault="00F82C0D" w:rsidP="00CB0531">
      <w:r>
        <w:t xml:space="preserve">The </w:t>
      </w:r>
      <w:r w:rsidR="00F341F6">
        <w:t>administering authority</w:t>
      </w:r>
      <w:r>
        <w:t xml:space="preserve"> must keep their policy under review.</w:t>
      </w:r>
      <w:r w:rsidR="00B23721">
        <w:t xml:space="preserve"> If</w:t>
      </w:r>
      <w:r w:rsidR="008D6F38">
        <w:t>,</w:t>
      </w:r>
      <w:r w:rsidR="00B23721">
        <w:t xml:space="preserve"> </w:t>
      </w:r>
      <w:r w:rsidR="003A73E4">
        <w:t>because of</w:t>
      </w:r>
      <w:r w:rsidR="00B23721">
        <w:t xml:space="preserve"> a review, the authority decides to amend its policy, it must publish a statement of the amended policy</w:t>
      </w:r>
      <w:r w:rsidR="00F341F6">
        <w:t xml:space="preserve"> </w:t>
      </w:r>
      <w:r w:rsidR="00B23721">
        <w:t>within one month of deciding to amend the policy.</w:t>
      </w:r>
    </w:p>
    <w:p w14:paraId="75E3E903" w14:textId="6182C66B" w:rsidR="008D64EC" w:rsidRDefault="008D64EC" w:rsidP="008D64EC">
      <w:pPr>
        <w:pStyle w:val="Heading3"/>
      </w:pPr>
      <w:bookmarkStart w:id="161" w:name="_Note_7_–"/>
      <w:bookmarkStart w:id="162" w:name="_Toc177712050"/>
      <w:bookmarkEnd w:id="161"/>
      <w:r>
        <w:t xml:space="preserve">Note </w:t>
      </w:r>
      <w:r w:rsidR="00A02D9D">
        <w:t>4</w:t>
      </w:r>
      <w:r>
        <w:t xml:space="preserve"> – Communication </w:t>
      </w:r>
      <w:r w:rsidR="00CD2C8E">
        <w:t>strategy statement</w:t>
      </w:r>
      <w:bookmarkEnd w:id="162"/>
    </w:p>
    <w:p w14:paraId="17F018F6" w14:textId="0CDF869F" w:rsidR="00CD2C8E" w:rsidRDefault="00402F7C" w:rsidP="00CD2C8E">
      <w:r>
        <w:t xml:space="preserve">Regulation 59 of the 2018 Regulations requires the administering authority to prepare, maintain and publish a written statement of its policy concerning communication with members, </w:t>
      </w:r>
      <w:r w:rsidR="003023FA">
        <w:t xml:space="preserve">member </w:t>
      </w:r>
      <w:r>
        <w:t>representatives, prospective members and employers.</w:t>
      </w:r>
    </w:p>
    <w:p w14:paraId="2F0AF7B8" w14:textId="6A3EF831" w:rsidR="00402F7C" w:rsidRDefault="006A59C4" w:rsidP="00CD2C8E">
      <w:r>
        <w:t xml:space="preserve">In particular, the authority must </w:t>
      </w:r>
      <w:r w:rsidR="004856EE">
        <w:t xml:space="preserve">set out in its statement </w:t>
      </w:r>
      <w:r>
        <w:t>its policy on:</w:t>
      </w:r>
    </w:p>
    <w:p w14:paraId="04E42DD3" w14:textId="4917CA48" w:rsidR="006A59C4" w:rsidRDefault="00BF6A8D" w:rsidP="006A59C4">
      <w:pPr>
        <w:pStyle w:val="ListBullet"/>
      </w:pPr>
      <w:r>
        <w:t xml:space="preserve">giving information about the </w:t>
      </w:r>
      <w:r w:rsidR="005D1B1C">
        <w:t>Scheme</w:t>
      </w:r>
      <w:r>
        <w:t xml:space="preserve"> to members, </w:t>
      </w:r>
      <w:r w:rsidR="003023FA">
        <w:t xml:space="preserve">member </w:t>
      </w:r>
      <w:r>
        <w:t>representatives and employers</w:t>
      </w:r>
      <w:r w:rsidR="00566731">
        <w:t xml:space="preserve">, </w:t>
      </w:r>
      <w:r>
        <w:t xml:space="preserve">including the format, frequency and method </w:t>
      </w:r>
      <w:r w:rsidR="00F34F64">
        <w:t>of giving that information</w:t>
      </w:r>
    </w:p>
    <w:p w14:paraId="1D273AFA" w14:textId="1E469F43" w:rsidR="00F34F64" w:rsidRDefault="001B0128" w:rsidP="006A59C4">
      <w:pPr>
        <w:pStyle w:val="ListBullet"/>
      </w:pPr>
      <w:r>
        <w:t>publi</w:t>
      </w:r>
      <w:r w:rsidR="00B00D7E">
        <w:t>cising</w:t>
      </w:r>
      <w:r>
        <w:t xml:space="preserve"> </w:t>
      </w:r>
      <w:r w:rsidR="00F34F64">
        <w:t xml:space="preserve">the </w:t>
      </w:r>
      <w:r w:rsidR="005D1B1C">
        <w:t>Scheme</w:t>
      </w:r>
      <w:r w:rsidR="00F34F64">
        <w:t xml:space="preserve"> to members, </w:t>
      </w:r>
      <w:r w:rsidR="003023FA">
        <w:t xml:space="preserve">member </w:t>
      </w:r>
      <w:r w:rsidR="00F34F64">
        <w:t>representatives and employers</w:t>
      </w:r>
      <w:r w:rsidR="00566731">
        <w:t xml:space="preserve">, </w:t>
      </w:r>
      <w:r w:rsidR="00F34F64">
        <w:t>including the format, frequency and method of giving that information</w:t>
      </w:r>
    </w:p>
    <w:p w14:paraId="0E455775" w14:textId="5BEB2841" w:rsidR="00F34F64" w:rsidRDefault="001F4644" w:rsidP="006A59C4">
      <w:pPr>
        <w:pStyle w:val="ListBullet"/>
      </w:pPr>
      <w:r>
        <w:t xml:space="preserve">promoting the </w:t>
      </w:r>
      <w:r w:rsidR="005D1B1C">
        <w:t>Scheme</w:t>
      </w:r>
      <w:r>
        <w:t xml:space="preserve"> to prospective members and their employers.</w:t>
      </w:r>
    </w:p>
    <w:p w14:paraId="6B081B40" w14:textId="6F14A6FE" w:rsidR="00F627DC" w:rsidRPr="00CD2C8E" w:rsidRDefault="00A75847" w:rsidP="00F627DC">
      <w:r>
        <w:t>If</w:t>
      </w:r>
      <w:r w:rsidR="0084400C">
        <w:t xml:space="preserve"> the administering authority materially changes its policy on any </w:t>
      </w:r>
      <w:r w:rsidR="008D6F38">
        <w:t xml:space="preserve">of </w:t>
      </w:r>
      <w:r w:rsidR="0084400C">
        <w:t xml:space="preserve">the matters listed above, </w:t>
      </w:r>
      <w:r>
        <w:t>it</w:t>
      </w:r>
      <w:r w:rsidR="0084400C">
        <w:t xml:space="preserve"> must revise </w:t>
      </w:r>
      <w:r w:rsidR="0086664A">
        <w:t xml:space="preserve">its statement and publish </w:t>
      </w:r>
      <w:r w:rsidR="00D7044F">
        <w:t>the updated version</w:t>
      </w:r>
      <w:r w:rsidR="0086664A">
        <w:t>.</w:t>
      </w:r>
    </w:p>
    <w:p w14:paraId="1F284876" w14:textId="18B971FE" w:rsidR="004A715B" w:rsidRDefault="004A715B" w:rsidP="004A715B">
      <w:pPr>
        <w:pStyle w:val="Heading3"/>
      </w:pPr>
      <w:bookmarkStart w:id="163" w:name="_Note_8_–"/>
      <w:bookmarkStart w:id="164" w:name="_Toc177712051"/>
      <w:bookmarkEnd w:id="163"/>
      <w:r>
        <w:t xml:space="preserve">Note </w:t>
      </w:r>
      <w:r w:rsidR="00A02D9D">
        <w:t>5</w:t>
      </w:r>
      <w:r>
        <w:t xml:space="preserve"> – Funding strategy statement</w:t>
      </w:r>
      <w:bookmarkEnd w:id="164"/>
    </w:p>
    <w:p w14:paraId="67709176" w14:textId="7F021646" w:rsidR="004A715B" w:rsidRDefault="004A715B" w:rsidP="004A715B">
      <w:r>
        <w:t>Regulation 5</w:t>
      </w:r>
      <w:r w:rsidR="00677A95">
        <w:t>6</w:t>
      </w:r>
      <w:r>
        <w:t xml:space="preserve"> of the 2018 Regulations requires the administering authority to prepare, maintain and publish a written statement </w:t>
      </w:r>
      <w:r w:rsidR="00677A95">
        <w:t>setting out its funding strategy.</w:t>
      </w:r>
      <w:r w:rsidR="00224AF5">
        <w:t xml:space="preserve"> Before doing so, the authority must consult with such persons as it considers appropriate.</w:t>
      </w:r>
    </w:p>
    <w:p w14:paraId="0E1D6FCC" w14:textId="2F33E265" w:rsidR="00996B0C" w:rsidRDefault="00996B0C" w:rsidP="004A715B">
      <w:r>
        <w:t>The authority should have published the statement before 1 April 2016.</w:t>
      </w:r>
    </w:p>
    <w:p w14:paraId="748107D7" w14:textId="19CDD2BE" w:rsidR="0075174A" w:rsidRDefault="00FC4C2F" w:rsidP="004A715B">
      <w:r>
        <w:t>The authority must keep the statement under review.</w:t>
      </w:r>
    </w:p>
    <w:p w14:paraId="2AD671BE" w14:textId="66AEB1C5" w:rsidR="00FC4C2F" w:rsidRDefault="00550575" w:rsidP="004A715B">
      <w:r>
        <w:lastRenderedPageBreak/>
        <w:t xml:space="preserve">If the authority wishes to materially change its policy set out in the statement, it must first consult such persons as it considers appropriate. If, after </w:t>
      </w:r>
      <w:r w:rsidR="003023FA">
        <w:t>consulting</w:t>
      </w:r>
      <w:r>
        <w:t>, it still wishes to proceed, it must then revise its statement and publish it.</w:t>
      </w:r>
    </w:p>
    <w:p w14:paraId="56B424D0" w14:textId="3B784309" w:rsidR="00722EB9" w:rsidRDefault="00524EF4" w:rsidP="004A715B">
      <w:r>
        <w:t>In preparing, maintaining and reviewing the statement, the authority must have regard to:</w:t>
      </w:r>
    </w:p>
    <w:p w14:paraId="52E80F6D" w14:textId="5AE139D8" w:rsidR="00943437" w:rsidRDefault="00524EF4" w:rsidP="00943437">
      <w:pPr>
        <w:pStyle w:val="ListBullet"/>
      </w:pPr>
      <w:r>
        <w:t>the current version of the guidance published by the Chartered Institute of Public Finance and Accountancy</w:t>
      </w:r>
      <w:r w:rsidR="00B93525">
        <w:t xml:space="preserve">, titled </w:t>
      </w:r>
      <w:r>
        <w:t>‘Preparing and maintaining a Funding Strategy Statement in the Local Government Pension Scheme’</w:t>
      </w:r>
      <w:r w:rsidR="00943437">
        <w:t>, and</w:t>
      </w:r>
    </w:p>
    <w:p w14:paraId="49EE494C" w14:textId="0A1FC6EB" w:rsidR="00647411" w:rsidRDefault="00943437" w:rsidP="00647411">
      <w:pPr>
        <w:pStyle w:val="ListBullet"/>
      </w:pPr>
      <w:r>
        <w:t>its statement of investment principles.</w:t>
      </w:r>
    </w:p>
    <w:p w14:paraId="001ED09C" w14:textId="009BD958" w:rsidR="004649C0" w:rsidRDefault="004649C0" w:rsidP="009C337C">
      <w:r>
        <w:t>The 2018 Regulations allow the administering authority to:</w:t>
      </w:r>
    </w:p>
    <w:p w14:paraId="522BF8DD" w14:textId="71881091" w:rsidR="004649C0" w:rsidRDefault="004649C0" w:rsidP="004649C0">
      <w:pPr>
        <w:pStyle w:val="ListBullet"/>
      </w:pPr>
      <w:r>
        <w:t>enter into deferred debt agreements</w:t>
      </w:r>
      <w:r w:rsidR="0055025F">
        <w:t xml:space="preserve"> – regulation 61</w:t>
      </w:r>
    </w:p>
    <w:p w14:paraId="653DE6C6" w14:textId="3F7D7872" w:rsidR="004649C0" w:rsidRDefault="009E01B4" w:rsidP="004649C0">
      <w:pPr>
        <w:pStyle w:val="ListBullet"/>
      </w:pPr>
      <w:r>
        <w:t>agree to exit payments being paid in instalments</w:t>
      </w:r>
      <w:r w:rsidR="001A4BF7">
        <w:t xml:space="preserve"> – regulation 61B</w:t>
      </w:r>
    </w:p>
    <w:p w14:paraId="21C8B5C7" w14:textId="112FB5AE" w:rsidR="004649C0" w:rsidRDefault="009406B7" w:rsidP="004649C0">
      <w:pPr>
        <w:pStyle w:val="ListBullet"/>
      </w:pPr>
      <w:r>
        <w:t>revising employer contribution rates between valuations</w:t>
      </w:r>
      <w:r w:rsidR="006245F0">
        <w:t xml:space="preserve"> – regulation 61</w:t>
      </w:r>
      <w:r w:rsidR="00575F81">
        <w:t>A</w:t>
      </w:r>
      <w:r w:rsidR="008D6F38">
        <w:t>.</w:t>
      </w:r>
    </w:p>
    <w:p w14:paraId="51C9F895" w14:textId="6BD8A862" w:rsidR="004649C0" w:rsidRDefault="004649C0" w:rsidP="004649C0">
      <w:r>
        <w:t>If the authority wishes to exercise any of these powers, it must first set out its policy in that area in the funding strategy statement.</w:t>
      </w:r>
    </w:p>
    <w:p w14:paraId="51F70E01" w14:textId="499FE65B" w:rsidR="00B1693D" w:rsidRDefault="00B1693D" w:rsidP="00B1693D">
      <w:pPr>
        <w:pStyle w:val="Heading3"/>
      </w:pPr>
      <w:bookmarkStart w:id="165" w:name="_Note_9_–"/>
      <w:bookmarkStart w:id="166" w:name="_Toc177712052"/>
      <w:bookmarkEnd w:id="165"/>
      <w:r>
        <w:t xml:space="preserve">Note </w:t>
      </w:r>
      <w:r w:rsidR="001F3117">
        <w:t>6</w:t>
      </w:r>
      <w:r>
        <w:t xml:space="preserve"> – Governance compliance statement</w:t>
      </w:r>
      <w:bookmarkEnd w:id="166"/>
    </w:p>
    <w:p w14:paraId="50B6A0CB" w14:textId="6BF8924A" w:rsidR="00765795" w:rsidRDefault="00B1693D" w:rsidP="00765795">
      <w:r>
        <w:t>Regulation 53 of the 2018 Regulations requires the administering authority to prepare</w:t>
      </w:r>
      <w:r w:rsidR="007915FB">
        <w:t xml:space="preserve"> </w:t>
      </w:r>
      <w:r w:rsidR="008F151A">
        <w:t xml:space="preserve">and publish </w:t>
      </w:r>
      <w:r>
        <w:t>a written statement setting out</w:t>
      </w:r>
      <w:r w:rsidR="007915FB">
        <w:t xml:space="preserve"> whether it delegates all or some of its </w:t>
      </w:r>
      <w:r w:rsidR="00AF1B4E">
        <w:t>LGPS</w:t>
      </w:r>
      <w:r w:rsidR="007915FB">
        <w:t xml:space="preserve"> functions to a committee, sub-committee or an officer of the authority.</w:t>
      </w:r>
      <w:r w:rsidR="00765795">
        <w:t xml:space="preserve"> If so, the statement must set out the following:</w:t>
      </w:r>
    </w:p>
    <w:p w14:paraId="11F34C04" w14:textId="21D8E7C1" w:rsidR="00765795" w:rsidRDefault="00765795" w:rsidP="00765795">
      <w:pPr>
        <w:pStyle w:val="ListBullet"/>
      </w:pPr>
      <w:r>
        <w:t>terms, structure and operational procedures of the delegation</w:t>
      </w:r>
    </w:p>
    <w:p w14:paraId="5BB2ECAF" w14:textId="77777777" w:rsidR="00A9421D" w:rsidRDefault="00C51F58" w:rsidP="00EC2787">
      <w:pPr>
        <w:pStyle w:val="ListBullet"/>
      </w:pPr>
      <w:r>
        <w:t>frequency of any committee or sub-committee</w:t>
      </w:r>
    </w:p>
    <w:p w14:paraId="63AB59E8" w14:textId="7962BB28" w:rsidR="00C51F58" w:rsidRDefault="00C51F58" w:rsidP="00EC2787">
      <w:pPr>
        <w:pStyle w:val="ListBullet"/>
      </w:pPr>
      <w:r>
        <w:t>whether such a committee or sub-committee includes employer or member representatives, and if so whether those representatives have voting rights</w:t>
      </w:r>
      <w:r w:rsidR="00AC390A">
        <w:t>.</w:t>
      </w:r>
    </w:p>
    <w:p w14:paraId="2E4940D9" w14:textId="77777777" w:rsidR="00DA7FCA" w:rsidRDefault="00C51F58" w:rsidP="00934489">
      <w:r>
        <w:t>The statement should also set out</w:t>
      </w:r>
      <w:r w:rsidR="00DA7FCA">
        <w:t>:</w:t>
      </w:r>
    </w:p>
    <w:p w14:paraId="44763308" w14:textId="365D00A0" w:rsidR="00DA7FCA" w:rsidRDefault="00C51F58" w:rsidP="00934489">
      <w:pPr>
        <w:pStyle w:val="ListBullet"/>
      </w:pPr>
      <w:r>
        <w:t xml:space="preserve"> </w:t>
      </w:r>
      <w:r w:rsidR="00DA7FCA">
        <w:t>whether the delegation, or absence of a delegation, complies with guidance from Scottish Ministers, and if it does not comply, the reasons for not complying,</w:t>
      </w:r>
    </w:p>
    <w:p w14:paraId="2FB36E64" w14:textId="636212C0" w:rsidR="00C51F58" w:rsidRDefault="00C51F58" w:rsidP="00934489">
      <w:pPr>
        <w:pStyle w:val="ListBullet"/>
      </w:pPr>
      <w:r>
        <w:t xml:space="preserve">the terms, structure and operational procedures </w:t>
      </w:r>
      <w:r w:rsidR="00EE0F3F">
        <w:t>for its</w:t>
      </w:r>
      <w:r>
        <w:t xml:space="preserve"> local pension board.</w:t>
      </w:r>
    </w:p>
    <w:p w14:paraId="21972ACF" w14:textId="5A5B9A9B" w:rsidR="00EE0F3F" w:rsidRDefault="00EE0F3F" w:rsidP="00C51F58">
      <w:r>
        <w:t>The authority must keep its statement under review.</w:t>
      </w:r>
    </w:p>
    <w:p w14:paraId="07470866" w14:textId="21C3EDD6" w:rsidR="00EE0F3F" w:rsidRDefault="00EE0F3F" w:rsidP="00C51F58">
      <w:r>
        <w:t>If the authority makes a material change to any of the matters set out in the statement, it must revise the statement and publish it.</w:t>
      </w:r>
    </w:p>
    <w:p w14:paraId="7487FFA2" w14:textId="6144F347" w:rsidR="00EE0F3F" w:rsidRDefault="00EE0F3F" w:rsidP="00C51F58">
      <w:r>
        <w:lastRenderedPageBreak/>
        <w:t>Before preparing or revising a statement, the authority must consult with such persons as it considers appropriate.</w:t>
      </w:r>
    </w:p>
    <w:p w14:paraId="3B9DFADA" w14:textId="59E01096" w:rsidR="00471098" w:rsidRDefault="00471098" w:rsidP="00471098">
      <w:pPr>
        <w:pStyle w:val="Heading3"/>
      </w:pPr>
      <w:bookmarkStart w:id="167" w:name="_Note_10_–"/>
      <w:bookmarkStart w:id="168" w:name="_Toc177712053"/>
      <w:bookmarkEnd w:id="167"/>
      <w:r>
        <w:t xml:space="preserve">Note </w:t>
      </w:r>
      <w:r w:rsidR="001F3117">
        <w:t>7</w:t>
      </w:r>
      <w:r>
        <w:t xml:space="preserve"> – Pension administration strategy</w:t>
      </w:r>
      <w:bookmarkEnd w:id="168"/>
    </w:p>
    <w:p w14:paraId="12117C4D" w14:textId="7A2ED8DA" w:rsidR="00FD23A0" w:rsidRDefault="00471098" w:rsidP="00471098">
      <w:r>
        <w:t xml:space="preserve">Regulation 57 of the 2018 Regulations allows the administering authority to prepare </w:t>
      </w:r>
      <w:r w:rsidR="00FD23A0">
        <w:t>a written statement</w:t>
      </w:r>
      <w:r w:rsidR="00530B91">
        <w:t xml:space="preserve"> </w:t>
      </w:r>
      <w:r w:rsidR="00FD23A0">
        <w:t>setting out its pension administration strategy.</w:t>
      </w:r>
    </w:p>
    <w:p w14:paraId="450CF192" w14:textId="6108FB85" w:rsidR="002F4457" w:rsidRDefault="00DE2238" w:rsidP="00471098">
      <w:r>
        <w:t xml:space="preserve">If it chooses to have a strategy, </w:t>
      </w:r>
      <w:r w:rsidR="002F4457">
        <w:t>the following will apply</w:t>
      </w:r>
      <w:r w:rsidR="007D4E73">
        <w:t>:</w:t>
      </w:r>
    </w:p>
    <w:p w14:paraId="19D025FA" w14:textId="24E19ABE" w:rsidR="00471098" w:rsidRDefault="002F4457" w:rsidP="007D4E73">
      <w:pPr>
        <w:pStyle w:val="ListBullet"/>
      </w:pPr>
      <w:r>
        <w:t>T</w:t>
      </w:r>
      <w:r w:rsidR="00DE2238">
        <w:t xml:space="preserve">he authority will need to consider which matters listed in </w:t>
      </w:r>
      <w:r w:rsidR="00F0272E">
        <w:t xml:space="preserve">regulation </w:t>
      </w:r>
      <w:r w:rsidR="00DE2238">
        <w:t>57(2) are appropriate to cover in the statement.</w:t>
      </w:r>
    </w:p>
    <w:p w14:paraId="54B7B09E" w14:textId="09F7C181" w:rsidR="007D4E73" w:rsidRDefault="00A004AA" w:rsidP="007D4E73">
      <w:pPr>
        <w:pStyle w:val="ListBullet"/>
      </w:pPr>
      <w:r>
        <w:t>When preparing the statement, the authority must consult with its employers and such other</w:t>
      </w:r>
      <w:r w:rsidR="00634F1E">
        <w:t xml:space="preserve"> persons</w:t>
      </w:r>
      <w:r>
        <w:t xml:space="preserve"> as it considers appropriate</w:t>
      </w:r>
      <w:r w:rsidR="00A07234">
        <w:t>.</w:t>
      </w:r>
    </w:p>
    <w:p w14:paraId="4BD05DDB" w14:textId="724216E2" w:rsidR="00A004AA" w:rsidRDefault="00AE3893" w:rsidP="007D4E73">
      <w:pPr>
        <w:pStyle w:val="ListBullet"/>
      </w:pPr>
      <w:r>
        <w:t>The authority must publish the statement</w:t>
      </w:r>
      <w:r w:rsidR="00A07234">
        <w:t xml:space="preserve"> and </w:t>
      </w:r>
      <w:r>
        <w:t>send a copy to each of its employers and to Scottish Ministers as soon as is reasonably practicable</w:t>
      </w:r>
      <w:r w:rsidR="00211992">
        <w:t>.</w:t>
      </w:r>
    </w:p>
    <w:p w14:paraId="1D51D978" w14:textId="5048A05F" w:rsidR="00AE3893" w:rsidRDefault="00211992" w:rsidP="007D4E73">
      <w:pPr>
        <w:pStyle w:val="ListBullet"/>
      </w:pPr>
      <w:r>
        <w:t>The authority must keep the statement under review.</w:t>
      </w:r>
    </w:p>
    <w:p w14:paraId="48713F80" w14:textId="7E52E308" w:rsidR="00471098" w:rsidRDefault="00211992" w:rsidP="00C51F58">
      <w:pPr>
        <w:pStyle w:val="ListBullet"/>
      </w:pPr>
      <w:r>
        <w:t>If the authority wishes to make a material change to its policies covered in the statement, it must first consult its employers and such other persons as it considers appropriate. If the authority wishes to proceed</w:t>
      </w:r>
      <w:r w:rsidR="00681B8C">
        <w:t>,</w:t>
      </w:r>
      <w:r>
        <w:t xml:space="preserve"> it must then publish the </w:t>
      </w:r>
      <w:r w:rsidR="00C1736F">
        <w:t xml:space="preserve">revised </w:t>
      </w:r>
      <w:r>
        <w:t>statement and sen</w:t>
      </w:r>
      <w:r w:rsidR="00884017">
        <w:t>d</w:t>
      </w:r>
      <w:r>
        <w:t xml:space="preserve"> a copy to each of its employers and to Scottish Ministers as soon as is reasonably practicable.</w:t>
      </w:r>
    </w:p>
    <w:p w14:paraId="00ED8CDC" w14:textId="2BA4BAB7" w:rsidR="00943437" w:rsidRPr="00C8374E" w:rsidRDefault="00943437" w:rsidP="00B057BB">
      <w:pPr>
        <w:pStyle w:val="ListBullet"/>
        <w:numPr>
          <w:ilvl w:val="0"/>
          <w:numId w:val="0"/>
        </w:numPr>
        <w:sectPr w:rsidR="00943437" w:rsidRPr="00C8374E">
          <w:pgSz w:w="11906" w:h="16838"/>
          <w:pgMar w:top="1440" w:right="1440" w:bottom="1440" w:left="1440" w:header="708" w:footer="708" w:gutter="0"/>
          <w:cols w:space="708"/>
          <w:docGrid w:linePitch="360"/>
        </w:sectPr>
      </w:pPr>
    </w:p>
    <w:p w14:paraId="28AC21ED" w14:textId="77777777" w:rsidR="00F953F3" w:rsidRPr="00A85764" w:rsidRDefault="00F953F3" w:rsidP="00A85764">
      <w:pPr>
        <w:pStyle w:val="Heading2"/>
      </w:pPr>
      <w:bookmarkStart w:id="169" w:name="_Regulatory_references_used"/>
      <w:bookmarkStart w:id="170" w:name="_LGPS_(Regulations)_2018"/>
      <w:bookmarkStart w:id="171" w:name="_Toc42591468"/>
      <w:bookmarkStart w:id="172" w:name="_Toc177655821"/>
      <w:bookmarkStart w:id="173" w:name="_Toc197699108"/>
      <w:bookmarkEnd w:id="169"/>
      <w:bookmarkEnd w:id="170"/>
      <w:r w:rsidRPr="00A85764">
        <w:lastRenderedPageBreak/>
        <w:t>Copyright</w:t>
      </w:r>
      <w:bookmarkEnd w:id="171"/>
      <w:bookmarkEnd w:id="172"/>
      <w:bookmarkEnd w:id="173"/>
    </w:p>
    <w:p w14:paraId="6AEA17FA" w14:textId="2A4D4CEF" w:rsidR="005100E0" w:rsidRDefault="00F953F3" w:rsidP="00BC360F">
      <w:r w:rsidRPr="00031954">
        <w:t xml:space="preserve">Copyright remains with the </w:t>
      </w:r>
      <w:r w:rsidR="002C54FB">
        <w:t>LGA</w:t>
      </w:r>
      <w:r w:rsidRPr="00031954">
        <w:t xml:space="preserve">. This Guide may be reproduced without the prior permission of the </w:t>
      </w:r>
      <w:r w:rsidR="002C54FB">
        <w:t xml:space="preserve">LGA </w:t>
      </w:r>
      <w:r w:rsidRPr="00031954">
        <w:t xml:space="preserve">provided it is not used for commercial gain, the source is acknowledged and, if regulations are reproduced, the Crown Copyright Policy Guidance issued by </w:t>
      </w:r>
      <w:r w:rsidR="002C54FB">
        <w:t xml:space="preserve">HMSO </w:t>
      </w:r>
      <w:r w:rsidRPr="00031954">
        <w:t>is adhered to.</w:t>
      </w:r>
    </w:p>
    <w:p w14:paraId="7AE01157" w14:textId="19C27D91" w:rsidR="003D55B1" w:rsidRPr="00A85764" w:rsidRDefault="003D55B1" w:rsidP="00A85764">
      <w:pPr>
        <w:pStyle w:val="Heading2"/>
      </w:pPr>
      <w:bookmarkStart w:id="174" w:name="_Toc177655822"/>
      <w:bookmarkStart w:id="175" w:name="_Toc197699109"/>
      <w:r w:rsidRPr="00A85764">
        <w:t>Disclaimer</w:t>
      </w:r>
      <w:bookmarkEnd w:id="174"/>
      <w:bookmarkEnd w:id="175"/>
    </w:p>
    <w:p w14:paraId="5557E430" w14:textId="0805F133" w:rsidR="003D55B1" w:rsidRPr="003D55B1" w:rsidRDefault="00BC2BB4" w:rsidP="008D6F38">
      <w:r>
        <w:t xml:space="preserve">The information contained in this guide has been prepared by the </w:t>
      </w:r>
      <w:r w:rsidR="002C54FB">
        <w:t xml:space="preserve">LGPC </w:t>
      </w:r>
      <w:r>
        <w:t xml:space="preserve">Secretariat, a part of the </w:t>
      </w:r>
      <w:r w:rsidR="002C54FB">
        <w:t>LGA</w:t>
      </w:r>
      <w:r>
        <w:t>. It represents our views and should not be treated as a complete and authoritative statement of the law. Readers may wish, or will need, to take their own legal advice on the interpretation of any piece of legislation. No responsibility whatsoever will be assumed by either party for any direct or consequential loss, financial or otherwise, damage or inconvenience, or any other obligation or liability incurred by readers relying on information contained in this Guide.</w:t>
      </w:r>
    </w:p>
    <w:sectPr w:rsidR="003D55B1" w:rsidRPr="003D55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6294F" w14:textId="77777777" w:rsidR="00392FA5" w:rsidRDefault="00392FA5" w:rsidP="00E874AC">
      <w:pPr>
        <w:spacing w:after="0" w:line="240" w:lineRule="auto"/>
      </w:pPr>
      <w:r>
        <w:separator/>
      </w:r>
    </w:p>
  </w:endnote>
  <w:endnote w:type="continuationSeparator" w:id="0">
    <w:p w14:paraId="784E3B12" w14:textId="77777777" w:rsidR="00392FA5" w:rsidRDefault="00392FA5" w:rsidP="00E874AC">
      <w:pPr>
        <w:spacing w:after="0" w:line="240" w:lineRule="auto"/>
      </w:pPr>
      <w:r>
        <w:continuationSeparator/>
      </w:r>
    </w:p>
  </w:endnote>
  <w:endnote w:type="continuationNotice" w:id="1">
    <w:p w14:paraId="001649D8" w14:textId="77777777" w:rsidR="00392FA5" w:rsidRDefault="00392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60D1" w14:textId="1D395D62" w:rsidR="00622FF9" w:rsidRDefault="00622FF9" w:rsidP="00060C92">
    <w:pPr>
      <w:pStyle w:val="BodyText2"/>
    </w:pPr>
    <w:r>
      <w:t xml:space="preserve">Version </w:t>
    </w:r>
    <w:r w:rsidR="00A9421D">
      <w:t>2.0</w:t>
    </w:r>
    <w:r>
      <w:t xml:space="preserve"> – </w:t>
    </w:r>
    <w:r w:rsidR="00A9421D">
      <w:t>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68687852"/>
      <w:docPartObj>
        <w:docPartGallery w:val="Page Numbers (Bottom of Page)"/>
        <w:docPartUnique/>
      </w:docPartObj>
    </w:sdtPr>
    <w:sdtEndPr>
      <w:rPr>
        <w:noProof/>
      </w:rPr>
    </w:sdtEndPr>
    <w:sdtContent>
      <w:p w14:paraId="51D7182F" w14:textId="379F42C7" w:rsidR="00622FF9" w:rsidRPr="00803917" w:rsidRDefault="00622FF9">
        <w:pPr>
          <w:pStyle w:val="Footer"/>
          <w:jc w:val="right"/>
          <w:rPr>
            <w:sz w:val="20"/>
          </w:rPr>
        </w:pPr>
        <w:r w:rsidRPr="00060C92">
          <w:rPr>
            <w:rStyle w:val="BodyText2Char"/>
          </w:rPr>
          <w:t xml:space="preserve">Version </w:t>
        </w:r>
        <w:r w:rsidR="000E4DC2">
          <w:rPr>
            <w:rStyle w:val="BodyText2Char"/>
          </w:rPr>
          <w:t>2.0</w:t>
        </w:r>
        <w:r w:rsidRPr="00060C92">
          <w:rPr>
            <w:rStyle w:val="BodyText2Char"/>
          </w:rPr>
          <w:t xml:space="preserve"> </w:t>
        </w:r>
        <w:r>
          <w:rPr>
            <w:rStyle w:val="BodyText2Char"/>
          </w:rPr>
          <w:t>–</w:t>
        </w:r>
        <w:r w:rsidRPr="00060C92">
          <w:rPr>
            <w:rStyle w:val="BodyText2Char"/>
          </w:rPr>
          <w:t xml:space="preserve"> </w:t>
        </w:r>
        <w:r w:rsidR="000E4DC2">
          <w:rPr>
            <w:rStyle w:val="BodyText2Char"/>
          </w:rPr>
          <w:t xml:space="preserve">May </w:t>
        </w:r>
        <w:r w:rsidR="001D550B">
          <w:rPr>
            <w:rStyle w:val="BodyText2Char"/>
          </w:rPr>
          <w:t>202</w:t>
        </w:r>
        <w:r w:rsidR="001F5C68">
          <w:rPr>
            <w:rStyle w:val="BodyText2Char"/>
          </w:rPr>
          <w:t>5</w:t>
        </w:r>
        <w:r>
          <w:rPr>
            <w:sz w:val="20"/>
          </w:rPr>
          <w:tab/>
        </w:r>
        <w:r w:rsidRPr="00803917">
          <w:rPr>
            <w:sz w:val="20"/>
          </w:rPr>
          <w:tab/>
        </w:r>
        <w:r w:rsidRPr="00803917">
          <w:rPr>
            <w:sz w:val="20"/>
          </w:rPr>
          <w:fldChar w:fldCharType="begin"/>
        </w:r>
        <w:r w:rsidRPr="00803917">
          <w:rPr>
            <w:sz w:val="20"/>
          </w:rPr>
          <w:instrText xml:space="preserve"> PAGE   \* MERGEFORMAT </w:instrText>
        </w:r>
        <w:r w:rsidRPr="00803917">
          <w:rPr>
            <w:sz w:val="20"/>
          </w:rPr>
          <w:fldChar w:fldCharType="separate"/>
        </w:r>
        <w:r w:rsidRPr="00803917">
          <w:rPr>
            <w:noProof/>
            <w:sz w:val="20"/>
          </w:rPr>
          <w:t>2</w:t>
        </w:r>
        <w:r w:rsidRPr="00803917">
          <w:rPr>
            <w:noProof/>
            <w:sz w:val="20"/>
          </w:rPr>
          <w:fldChar w:fldCharType="end"/>
        </w:r>
      </w:p>
    </w:sdtContent>
  </w:sdt>
  <w:p w14:paraId="43C79B91" w14:textId="77777777" w:rsidR="00622FF9" w:rsidRDefault="00622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0BF4A" w14:textId="77777777" w:rsidR="00392FA5" w:rsidRDefault="00392FA5" w:rsidP="00E874AC">
      <w:pPr>
        <w:spacing w:after="0" w:line="240" w:lineRule="auto"/>
      </w:pPr>
      <w:r>
        <w:separator/>
      </w:r>
    </w:p>
  </w:footnote>
  <w:footnote w:type="continuationSeparator" w:id="0">
    <w:p w14:paraId="4BFE4742" w14:textId="77777777" w:rsidR="00392FA5" w:rsidRDefault="00392FA5" w:rsidP="00E874AC">
      <w:pPr>
        <w:spacing w:after="0" w:line="240" w:lineRule="auto"/>
      </w:pPr>
      <w:r>
        <w:continuationSeparator/>
      </w:r>
    </w:p>
  </w:footnote>
  <w:footnote w:type="continuationNotice" w:id="1">
    <w:p w14:paraId="309636AD" w14:textId="77777777" w:rsidR="00392FA5" w:rsidRDefault="00392F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609E" w14:textId="0287273C" w:rsidR="00622FF9" w:rsidRDefault="00622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D2D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7A72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286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C4EE2"/>
    <w:lvl w:ilvl="0">
      <w:start w:val="1"/>
      <w:numFmt w:val="decimal"/>
      <w:pStyle w:val="ListNumber2"/>
      <w:lvlText w:val="%1."/>
      <w:lvlJc w:val="left"/>
      <w:pPr>
        <w:ind w:left="360" w:hanging="360"/>
      </w:pPr>
    </w:lvl>
  </w:abstractNum>
  <w:abstractNum w:abstractNumId="4" w15:restartNumberingAfterBreak="0">
    <w:nsid w:val="FFFFFF80"/>
    <w:multiLevelType w:val="singleLevel"/>
    <w:tmpl w:val="F58EC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04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6C16F61A"/>
    <w:lvl w:ilvl="0">
      <w:start w:val="1"/>
      <w:numFmt w:val="lowerLetter"/>
      <w:pStyle w:val="ListBullet2"/>
      <w:lvlText w:val="%1."/>
      <w:lvlJc w:val="left"/>
      <w:pPr>
        <w:ind w:left="644" w:hanging="360"/>
      </w:pPr>
      <w:rPr>
        <w:rFonts w:hint="default"/>
        <w:sz w:val="24"/>
      </w:rPr>
    </w:lvl>
  </w:abstractNum>
  <w:abstractNum w:abstractNumId="7" w15:restartNumberingAfterBreak="0">
    <w:nsid w:val="FFFFFF89"/>
    <w:multiLevelType w:val="singleLevel"/>
    <w:tmpl w:val="2F681A26"/>
    <w:lvl w:ilvl="0">
      <w:start w:val="1"/>
      <w:numFmt w:val="bullet"/>
      <w:pStyle w:val="ListBullet"/>
      <w:lvlText w:val=""/>
      <w:lvlJc w:val="left"/>
      <w:pPr>
        <w:ind w:left="360" w:hanging="360"/>
      </w:pPr>
      <w:rPr>
        <w:rFonts w:ascii="Symbol" w:hAnsi="Symbol" w:hint="default"/>
        <w:color w:val="auto"/>
      </w:rPr>
    </w:lvl>
  </w:abstractNum>
  <w:abstractNum w:abstractNumId="8" w15:restartNumberingAfterBreak="0">
    <w:nsid w:val="10A94A03"/>
    <w:multiLevelType w:val="hybridMultilevel"/>
    <w:tmpl w:val="B2F8804E"/>
    <w:lvl w:ilvl="0" w:tplc="A64407A4">
      <w:start w:val="1"/>
      <w:numFmt w:val="lowerLetter"/>
      <w:pStyle w:val="ListBullet3"/>
      <w:lvlText w:val="(%1)"/>
      <w:lvlJc w:val="left"/>
      <w:pPr>
        <w:ind w:left="720" w:hanging="360"/>
      </w:pPr>
      <w:rPr>
        <w:rFonts w:ascii="Arial" w:eastAsiaTheme="minorHAnsi" w:hAnsi="Arial"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16037"/>
    <w:multiLevelType w:val="hybridMultilevel"/>
    <w:tmpl w:val="3A66B350"/>
    <w:lvl w:ilvl="0" w:tplc="AFC82E58">
      <w:start w:val="1"/>
      <w:numFmt w:val="decimal"/>
      <w:pStyle w:val="Heading2"/>
      <w:lvlText w:val="%1."/>
      <w:lvlJc w:val="left"/>
      <w:pPr>
        <w:tabs>
          <w:tab w:val="num" w:pos="9650"/>
        </w:tabs>
        <w:ind w:left="9650" w:hanging="720"/>
      </w:pPr>
      <w:rPr>
        <w:specVanish w:val="0"/>
      </w:rPr>
    </w:lvl>
    <w:lvl w:ilvl="1" w:tplc="66DA3AC8">
      <w:start w:val="1"/>
      <w:numFmt w:val="decimal"/>
      <w:lvlText w:val="%2."/>
      <w:lvlJc w:val="left"/>
      <w:pPr>
        <w:tabs>
          <w:tab w:val="num" w:pos="1440"/>
        </w:tabs>
        <w:ind w:left="1440" w:hanging="720"/>
      </w:pPr>
    </w:lvl>
    <w:lvl w:ilvl="2" w:tplc="5F689A2E">
      <w:start w:val="1"/>
      <w:numFmt w:val="decimal"/>
      <w:lvlText w:val="%3."/>
      <w:lvlJc w:val="left"/>
      <w:pPr>
        <w:tabs>
          <w:tab w:val="num" w:pos="2160"/>
        </w:tabs>
        <w:ind w:left="2160" w:hanging="720"/>
      </w:pPr>
    </w:lvl>
    <w:lvl w:ilvl="3" w:tplc="86BC64F4">
      <w:start w:val="1"/>
      <w:numFmt w:val="decimal"/>
      <w:lvlText w:val="%4."/>
      <w:lvlJc w:val="left"/>
      <w:pPr>
        <w:tabs>
          <w:tab w:val="num" w:pos="2880"/>
        </w:tabs>
        <w:ind w:left="2880" w:hanging="720"/>
      </w:pPr>
    </w:lvl>
    <w:lvl w:ilvl="4" w:tplc="809A16B2">
      <w:start w:val="1"/>
      <w:numFmt w:val="decimal"/>
      <w:lvlText w:val="%5."/>
      <w:lvlJc w:val="left"/>
      <w:pPr>
        <w:tabs>
          <w:tab w:val="num" w:pos="3600"/>
        </w:tabs>
        <w:ind w:left="3600" w:hanging="720"/>
      </w:pPr>
    </w:lvl>
    <w:lvl w:ilvl="5" w:tplc="0FB03E24">
      <w:start w:val="1"/>
      <w:numFmt w:val="decimal"/>
      <w:lvlText w:val="%6."/>
      <w:lvlJc w:val="left"/>
      <w:pPr>
        <w:tabs>
          <w:tab w:val="num" w:pos="4320"/>
        </w:tabs>
        <w:ind w:left="4320" w:hanging="720"/>
      </w:pPr>
    </w:lvl>
    <w:lvl w:ilvl="6" w:tplc="74D459E0">
      <w:start w:val="1"/>
      <w:numFmt w:val="decimal"/>
      <w:lvlText w:val="%7."/>
      <w:lvlJc w:val="left"/>
      <w:pPr>
        <w:tabs>
          <w:tab w:val="num" w:pos="5040"/>
        </w:tabs>
        <w:ind w:left="5040" w:hanging="720"/>
      </w:pPr>
    </w:lvl>
    <w:lvl w:ilvl="7" w:tplc="5A8E4CE2">
      <w:start w:val="1"/>
      <w:numFmt w:val="decimal"/>
      <w:lvlText w:val="%8."/>
      <w:lvlJc w:val="left"/>
      <w:pPr>
        <w:tabs>
          <w:tab w:val="num" w:pos="5760"/>
        </w:tabs>
        <w:ind w:left="5760" w:hanging="720"/>
      </w:pPr>
    </w:lvl>
    <w:lvl w:ilvl="8" w:tplc="E5B0395A">
      <w:start w:val="1"/>
      <w:numFmt w:val="decimal"/>
      <w:lvlText w:val="%9."/>
      <w:lvlJc w:val="left"/>
      <w:pPr>
        <w:tabs>
          <w:tab w:val="num" w:pos="6480"/>
        </w:tabs>
        <w:ind w:left="6480" w:hanging="720"/>
      </w:pPr>
    </w:lvl>
  </w:abstractNum>
  <w:abstractNum w:abstractNumId="10" w15:restartNumberingAfterBreak="0">
    <w:nsid w:val="188F501A"/>
    <w:multiLevelType w:val="hybridMultilevel"/>
    <w:tmpl w:val="8E70FF5E"/>
    <w:lvl w:ilvl="0" w:tplc="7B42FDA2">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C0955"/>
    <w:multiLevelType w:val="hybridMultilevel"/>
    <w:tmpl w:val="3154AF50"/>
    <w:lvl w:ilvl="0" w:tplc="B4661A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6E3F1A"/>
    <w:multiLevelType w:val="hybridMultilevel"/>
    <w:tmpl w:val="362A6A76"/>
    <w:lvl w:ilvl="0" w:tplc="9A16B4E8">
      <w:start w:val="1"/>
      <w:numFmt w:val="decimal"/>
      <w:lvlText w:val="%1."/>
      <w:lvlJc w:val="left"/>
      <w:pPr>
        <w:ind w:left="720" w:hanging="360"/>
      </w:pPr>
    </w:lvl>
    <w:lvl w:ilvl="1" w:tplc="CEF4042E">
      <w:start w:val="1"/>
      <w:numFmt w:val="decimal"/>
      <w:lvlText w:val="%2."/>
      <w:lvlJc w:val="left"/>
      <w:pPr>
        <w:ind w:left="720" w:hanging="360"/>
      </w:pPr>
    </w:lvl>
    <w:lvl w:ilvl="2" w:tplc="C22A53F0">
      <w:start w:val="1"/>
      <w:numFmt w:val="decimal"/>
      <w:lvlText w:val="%3."/>
      <w:lvlJc w:val="left"/>
      <w:pPr>
        <w:ind w:left="720" w:hanging="360"/>
      </w:pPr>
    </w:lvl>
    <w:lvl w:ilvl="3" w:tplc="8662D620">
      <w:start w:val="1"/>
      <w:numFmt w:val="decimal"/>
      <w:lvlText w:val="%4."/>
      <w:lvlJc w:val="left"/>
      <w:pPr>
        <w:ind w:left="720" w:hanging="360"/>
      </w:pPr>
    </w:lvl>
    <w:lvl w:ilvl="4" w:tplc="2C062C92">
      <w:start w:val="1"/>
      <w:numFmt w:val="decimal"/>
      <w:lvlText w:val="%5."/>
      <w:lvlJc w:val="left"/>
      <w:pPr>
        <w:ind w:left="720" w:hanging="360"/>
      </w:pPr>
    </w:lvl>
    <w:lvl w:ilvl="5" w:tplc="3C2EFC46">
      <w:start w:val="1"/>
      <w:numFmt w:val="decimal"/>
      <w:lvlText w:val="%6."/>
      <w:lvlJc w:val="left"/>
      <w:pPr>
        <w:ind w:left="720" w:hanging="360"/>
      </w:pPr>
    </w:lvl>
    <w:lvl w:ilvl="6" w:tplc="940AD228">
      <w:start w:val="1"/>
      <w:numFmt w:val="decimal"/>
      <w:lvlText w:val="%7."/>
      <w:lvlJc w:val="left"/>
      <w:pPr>
        <w:ind w:left="720" w:hanging="360"/>
      </w:pPr>
    </w:lvl>
    <w:lvl w:ilvl="7" w:tplc="C43CECC4">
      <w:start w:val="1"/>
      <w:numFmt w:val="decimal"/>
      <w:lvlText w:val="%8."/>
      <w:lvlJc w:val="left"/>
      <w:pPr>
        <w:ind w:left="720" w:hanging="360"/>
      </w:pPr>
    </w:lvl>
    <w:lvl w:ilvl="8" w:tplc="DFBA97C2">
      <w:start w:val="1"/>
      <w:numFmt w:val="decimal"/>
      <w:lvlText w:val="%9."/>
      <w:lvlJc w:val="left"/>
      <w:pPr>
        <w:ind w:left="720" w:hanging="360"/>
      </w:pPr>
    </w:lvl>
  </w:abstractNum>
  <w:abstractNum w:abstractNumId="13" w15:restartNumberingAfterBreak="0">
    <w:nsid w:val="1A7C4AB5"/>
    <w:multiLevelType w:val="hybridMultilevel"/>
    <w:tmpl w:val="767E461C"/>
    <w:lvl w:ilvl="0" w:tplc="2318CBD8">
      <w:start w:val="1"/>
      <w:numFmt w:val="decimal"/>
      <w:lvlText w:val="%1)"/>
      <w:lvlJc w:val="left"/>
      <w:pPr>
        <w:ind w:left="1020" w:hanging="360"/>
      </w:pPr>
    </w:lvl>
    <w:lvl w:ilvl="1" w:tplc="9C8040A4">
      <w:start w:val="1"/>
      <w:numFmt w:val="decimal"/>
      <w:lvlText w:val="%2)"/>
      <w:lvlJc w:val="left"/>
      <w:pPr>
        <w:ind w:left="1020" w:hanging="360"/>
      </w:pPr>
    </w:lvl>
    <w:lvl w:ilvl="2" w:tplc="42842CEA">
      <w:start w:val="1"/>
      <w:numFmt w:val="decimal"/>
      <w:lvlText w:val="%3)"/>
      <w:lvlJc w:val="left"/>
      <w:pPr>
        <w:ind w:left="1020" w:hanging="360"/>
      </w:pPr>
    </w:lvl>
    <w:lvl w:ilvl="3" w:tplc="8AAA2B86">
      <w:start w:val="1"/>
      <w:numFmt w:val="decimal"/>
      <w:lvlText w:val="%4)"/>
      <w:lvlJc w:val="left"/>
      <w:pPr>
        <w:ind w:left="1020" w:hanging="360"/>
      </w:pPr>
    </w:lvl>
    <w:lvl w:ilvl="4" w:tplc="3C9C893A">
      <w:start w:val="1"/>
      <w:numFmt w:val="decimal"/>
      <w:lvlText w:val="%5)"/>
      <w:lvlJc w:val="left"/>
      <w:pPr>
        <w:ind w:left="1020" w:hanging="360"/>
      </w:pPr>
    </w:lvl>
    <w:lvl w:ilvl="5" w:tplc="154EB936">
      <w:start w:val="1"/>
      <w:numFmt w:val="decimal"/>
      <w:lvlText w:val="%6)"/>
      <w:lvlJc w:val="left"/>
      <w:pPr>
        <w:ind w:left="1020" w:hanging="360"/>
      </w:pPr>
    </w:lvl>
    <w:lvl w:ilvl="6" w:tplc="DADE37E2">
      <w:start w:val="1"/>
      <w:numFmt w:val="decimal"/>
      <w:lvlText w:val="%7)"/>
      <w:lvlJc w:val="left"/>
      <w:pPr>
        <w:ind w:left="1020" w:hanging="360"/>
      </w:pPr>
    </w:lvl>
    <w:lvl w:ilvl="7" w:tplc="6B7A869A">
      <w:start w:val="1"/>
      <w:numFmt w:val="decimal"/>
      <w:lvlText w:val="%8)"/>
      <w:lvlJc w:val="left"/>
      <w:pPr>
        <w:ind w:left="1020" w:hanging="360"/>
      </w:pPr>
    </w:lvl>
    <w:lvl w:ilvl="8" w:tplc="2E306DFA">
      <w:start w:val="1"/>
      <w:numFmt w:val="decimal"/>
      <w:lvlText w:val="%9)"/>
      <w:lvlJc w:val="left"/>
      <w:pPr>
        <w:ind w:left="1020" w:hanging="360"/>
      </w:pPr>
    </w:lvl>
  </w:abstractNum>
  <w:abstractNum w:abstractNumId="14" w15:restartNumberingAfterBreak="0">
    <w:nsid w:val="1D4A549D"/>
    <w:multiLevelType w:val="hybridMultilevel"/>
    <w:tmpl w:val="B8E80C1A"/>
    <w:lvl w:ilvl="0" w:tplc="73201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A17310"/>
    <w:multiLevelType w:val="hybridMultilevel"/>
    <w:tmpl w:val="F72A8848"/>
    <w:lvl w:ilvl="0" w:tplc="C90A24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935AC"/>
    <w:multiLevelType w:val="hybridMultilevel"/>
    <w:tmpl w:val="57085300"/>
    <w:lvl w:ilvl="0" w:tplc="86EA6438">
      <w:start w:val="6"/>
      <w:numFmt w:val="decimal"/>
      <w:lvlText w:val="%1"/>
      <w:lvlJc w:val="left"/>
      <w:pPr>
        <w:ind w:left="1648" w:hanging="360"/>
      </w:pPr>
      <w:rPr>
        <w:rFonts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7" w15:restartNumberingAfterBreak="0">
    <w:nsid w:val="26501716"/>
    <w:multiLevelType w:val="hybridMultilevel"/>
    <w:tmpl w:val="CE7AC856"/>
    <w:lvl w:ilvl="0" w:tplc="3A6464D4">
      <w:start w:val="1"/>
      <w:numFmt w:val="decimal"/>
      <w:lvlText w:val="%1)"/>
      <w:lvlJc w:val="left"/>
      <w:pPr>
        <w:ind w:left="1020" w:hanging="360"/>
      </w:pPr>
    </w:lvl>
    <w:lvl w:ilvl="1" w:tplc="7A464402">
      <w:start w:val="1"/>
      <w:numFmt w:val="decimal"/>
      <w:lvlText w:val="%2)"/>
      <w:lvlJc w:val="left"/>
      <w:pPr>
        <w:ind w:left="1020" w:hanging="360"/>
      </w:pPr>
    </w:lvl>
    <w:lvl w:ilvl="2" w:tplc="74E86F74">
      <w:start w:val="1"/>
      <w:numFmt w:val="decimal"/>
      <w:lvlText w:val="%3)"/>
      <w:lvlJc w:val="left"/>
      <w:pPr>
        <w:ind w:left="1020" w:hanging="360"/>
      </w:pPr>
    </w:lvl>
    <w:lvl w:ilvl="3" w:tplc="271A9254">
      <w:start w:val="1"/>
      <w:numFmt w:val="decimal"/>
      <w:lvlText w:val="%4)"/>
      <w:lvlJc w:val="left"/>
      <w:pPr>
        <w:ind w:left="1020" w:hanging="360"/>
      </w:pPr>
    </w:lvl>
    <w:lvl w:ilvl="4" w:tplc="167254D2">
      <w:start w:val="1"/>
      <w:numFmt w:val="decimal"/>
      <w:lvlText w:val="%5)"/>
      <w:lvlJc w:val="left"/>
      <w:pPr>
        <w:ind w:left="1020" w:hanging="360"/>
      </w:pPr>
    </w:lvl>
    <w:lvl w:ilvl="5" w:tplc="9080F63A">
      <w:start w:val="1"/>
      <w:numFmt w:val="decimal"/>
      <w:lvlText w:val="%6)"/>
      <w:lvlJc w:val="left"/>
      <w:pPr>
        <w:ind w:left="1020" w:hanging="360"/>
      </w:pPr>
    </w:lvl>
    <w:lvl w:ilvl="6" w:tplc="CF048AD2">
      <w:start w:val="1"/>
      <w:numFmt w:val="decimal"/>
      <w:lvlText w:val="%7)"/>
      <w:lvlJc w:val="left"/>
      <w:pPr>
        <w:ind w:left="1020" w:hanging="360"/>
      </w:pPr>
    </w:lvl>
    <w:lvl w:ilvl="7" w:tplc="108E7C6A">
      <w:start w:val="1"/>
      <w:numFmt w:val="decimal"/>
      <w:lvlText w:val="%8)"/>
      <w:lvlJc w:val="left"/>
      <w:pPr>
        <w:ind w:left="1020" w:hanging="360"/>
      </w:pPr>
    </w:lvl>
    <w:lvl w:ilvl="8" w:tplc="64D49B14">
      <w:start w:val="1"/>
      <w:numFmt w:val="decimal"/>
      <w:lvlText w:val="%9)"/>
      <w:lvlJc w:val="left"/>
      <w:pPr>
        <w:ind w:left="1020" w:hanging="360"/>
      </w:pPr>
    </w:lvl>
  </w:abstractNum>
  <w:abstractNum w:abstractNumId="18" w15:restartNumberingAfterBreak="0">
    <w:nsid w:val="2B7E4555"/>
    <w:multiLevelType w:val="hybridMultilevel"/>
    <w:tmpl w:val="123A8D10"/>
    <w:lvl w:ilvl="0" w:tplc="3592A5A2">
      <w:start w:val="1"/>
      <w:numFmt w:val="decimal"/>
      <w:lvlText w:val="%1)"/>
      <w:lvlJc w:val="left"/>
      <w:pPr>
        <w:ind w:left="1020" w:hanging="360"/>
      </w:pPr>
    </w:lvl>
    <w:lvl w:ilvl="1" w:tplc="D5F0EE42">
      <w:start w:val="1"/>
      <w:numFmt w:val="decimal"/>
      <w:lvlText w:val="%2)"/>
      <w:lvlJc w:val="left"/>
      <w:pPr>
        <w:ind w:left="1020" w:hanging="360"/>
      </w:pPr>
    </w:lvl>
    <w:lvl w:ilvl="2" w:tplc="12FA56E4">
      <w:start w:val="1"/>
      <w:numFmt w:val="decimal"/>
      <w:lvlText w:val="%3)"/>
      <w:lvlJc w:val="left"/>
      <w:pPr>
        <w:ind w:left="1020" w:hanging="360"/>
      </w:pPr>
    </w:lvl>
    <w:lvl w:ilvl="3" w:tplc="DF8EC4AC">
      <w:start w:val="1"/>
      <w:numFmt w:val="decimal"/>
      <w:lvlText w:val="%4)"/>
      <w:lvlJc w:val="left"/>
      <w:pPr>
        <w:ind w:left="1020" w:hanging="360"/>
      </w:pPr>
    </w:lvl>
    <w:lvl w:ilvl="4" w:tplc="6C0ED14E">
      <w:start w:val="1"/>
      <w:numFmt w:val="decimal"/>
      <w:lvlText w:val="%5)"/>
      <w:lvlJc w:val="left"/>
      <w:pPr>
        <w:ind w:left="1020" w:hanging="360"/>
      </w:pPr>
    </w:lvl>
    <w:lvl w:ilvl="5" w:tplc="473644DE">
      <w:start w:val="1"/>
      <w:numFmt w:val="decimal"/>
      <w:lvlText w:val="%6)"/>
      <w:lvlJc w:val="left"/>
      <w:pPr>
        <w:ind w:left="1020" w:hanging="360"/>
      </w:pPr>
    </w:lvl>
    <w:lvl w:ilvl="6" w:tplc="5C66406A">
      <w:start w:val="1"/>
      <w:numFmt w:val="decimal"/>
      <w:lvlText w:val="%7)"/>
      <w:lvlJc w:val="left"/>
      <w:pPr>
        <w:ind w:left="1020" w:hanging="360"/>
      </w:pPr>
    </w:lvl>
    <w:lvl w:ilvl="7" w:tplc="A1D02F8A">
      <w:start w:val="1"/>
      <w:numFmt w:val="decimal"/>
      <w:lvlText w:val="%8)"/>
      <w:lvlJc w:val="left"/>
      <w:pPr>
        <w:ind w:left="1020" w:hanging="360"/>
      </w:pPr>
    </w:lvl>
    <w:lvl w:ilvl="8" w:tplc="07EAEDA6">
      <w:start w:val="1"/>
      <w:numFmt w:val="decimal"/>
      <w:lvlText w:val="%9)"/>
      <w:lvlJc w:val="left"/>
      <w:pPr>
        <w:ind w:left="1020" w:hanging="360"/>
      </w:pPr>
    </w:lvl>
  </w:abstractNum>
  <w:abstractNum w:abstractNumId="19" w15:restartNumberingAfterBreak="0">
    <w:nsid w:val="2CB31D12"/>
    <w:multiLevelType w:val="hybridMultilevel"/>
    <w:tmpl w:val="4872BC84"/>
    <w:lvl w:ilvl="0" w:tplc="C2E21032">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A62F4"/>
    <w:multiLevelType w:val="hybridMultilevel"/>
    <w:tmpl w:val="7E3E9684"/>
    <w:lvl w:ilvl="0" w:tplc="7B7226EC">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3A4B06BB"/>
    <w:multiLevelType w:val="hybridMultilevel"/>
    <w:tmpl w:val="CFE64A06"/>
    <w:lvl w:ilvl="0" w:tplc="7FE61B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3067C7"/>
    <w:multiLevelType w:val="hybridMultilevel"/>
    <w:tmpl w:val="377C0BA8"/>
    <w:lvl w:ilvl="0" w:tplc="7D103128">
      <w:start w:val="1"/>
      <w:numFmt w:val="decimal"/>
      <w:lvlText w:val="%1."/>
      <w:lvlJc w:val="left"/>
      <w:pPr>
        <w:ind w:left="720" w:hanging="360"/>
      </w:pPr>
    </w:lvl>
    <w:lvl w:ilvl="1" w:tplc="26F877F4">
      <w:start w:val="1"/>
      <w:numFmt w:val="decimal"/>
      <w:lvlText w:val="%2."/>
      <w:lvlJc w:val="left"/>
      <w:pPr>
        <w:ind w:left="720" w:hanging="360"/>
      </w:pPr>
    </w:lvl>
    <w:lvl w:ilvl="2" w:tplc="2BB40BA4">
      <w:start w:val="1"/>
      <w:numFmt w:val="decimal"/>
      <w:lvlText w:val="%3."/>
      <w:lvlJc w:val="left"/>
      <w:pPr>
        <w:ind w:left="720" w:hanging="360"/>
      </w:pPr>
    </w:lvl>
    <w:lvl w:ilvl="3" w:tplc="05644712">
      <w:start w:val="1"/>
      <w:numFmt w:val="decimal"/>
      <w:lvlText w:val="%4."/>
      <w:lvlJc w:val="left"/>
      <w:pPr>
        <w:ind w:left="720" w:hanging="360"/>
      </w:pPr>
    </w:lvl>
    <w:lvl w:ilvl="4" w:tplc="00DC778A">
      <w:start w:val="1"/>
      <w:numFmt w:val="decimal"/>
      <w:lvlText w:val="%5."/>
      <w:lvlJc w:val="left"/>
      <w:pPr>
        <w:ind w:left="720" w:hanging="360"/>
      </w:pPr>
    </w:lvl>
    <w:lvl w:ilvl="5" w:tplc="53E0366A">
      <w:start w:val="1"/>
      <w:numFmt w:val="decimal"/>
      <w:lvlText w:val="%6."/>
      <w:lvlJc w:val="left"/>
      <w:pPr>
        <w:ind w:left="720" w:hanging="360"/>
      </w:pPr>
    </w:lvl>
    <w:lvl w:ilvl="6" w:tplc="DF7C3F90">
      <w:start w:val="1"/>
      <w:numFmt w:val="decimal"/>
      <w:lvlText w:val="%7."/>
      <w:lvlJc w:val="left"/>
      <w:pPr>
        <w:ind w:left="720" w:hanging="360"/>
      </w:pPr>
    </w:lvl>
    <w:lvl w:ilvl="7" w:tplc="FC5A905E">
      <w:start w:val="1"/>
      <w:numFmt w:val="decimal"/>
      <w:lvlText w:val="%8."/>
      <w:lvlJc w:val="left"/>
      <w:pPr>
        <w:ind w:left="720" w:hanging="360"/>
      </w:pPr>
    </w:lvl>
    <w:lvl w:ilvl="8" w:tplc="019AE796">
      <w:start w:val="1"/>
      <w:numFmt w:val="decimal"/>
      <w:lvlText w:val="%9."/>
      <w:lvlJc w:val="left"/>
      <w:pPr>
        <w:ind w:left="720" w:hanging="360"/>
      </w:pPr>
    </w:lvl>
  </w:abstractNum>
  <w:abstractNum w:abstractNumId="23" w15:restartNumberingAfterBreak="0">
    <w:nsid w:val="3F887B8F"/>
    <w:multiLevelType w:val="hybridMultilevel"/>
    <w:tmpl w:val="45EAAA00"/>
    <w:lvl w:ilvl="0" w:tplc="65CA7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E60871"/>
    <w:multiLevelType w:val="multilevel"/>
    <w:tmpl w:val="AEB02C1A"/>
    <w:numStyleLink w:val="Style1"/>
  </w:abstractNum>
  <w:abstractNum w:abstractNumId="25" w15:restartNumberingAfterBreak="0">
    <w:nsid w:val="49DE0C01"/>
    <w:multiLevelType w:val="hybridMultilevel"/>
    <w:tmpl w:val="5BC86564"/>
    <w:lvl w:ilvl="0" w:tplc="D8DE6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E467B"/>
    <w:multiLevelType w:val="hybridMultilevel"/>
    <w:tmpl w:val="2CA2BDFE"/>
    <w:lvl w:ilvl="0" w:tplc="285494C0">
      <w:start w:val="1"/>
      <w:numFmt w:val="decimal"/>
      <w:lvlText w:val="%1)"/>
      <w:lvlJc w:val="left"/>
      <w:pPr>
        <w:ind w:left="1020" w:hanging="360"/>
      </w:pPr>
    </w:lvl>
    <w:lvl w:ilvl="1" w:tplc="05FE27D4">
      <w:start w:val="1"/>
      <w:numFmt w:val="decimal"/>
      <w:lvlText w:val="%2)"/>
      <w:lvlJc w:val="left"/>
      <w:pPr>
        <w:ind w:left="1020" w:hanging="360"/>
      </w:pPr>
    </w:lvl>
    <w:lvl w:ilvl="2" w:tplc="39D057C4">
      <w:start w:val="1"/>
      <w:numFmt w:val="decimal"/>
      <w:lvlText w:val="%3)"/>
      <w:lvlJc w:val="left"/>
      <w:pPr>
        <w:ind w:left="1020" w:hanging="360"/>
      </w:pPr>
    </w:lvl>
    <w:lvl w:ilvl="3" w:tplc="6A26975E">
      <w:start w:val="1"/>
      <w:numFmt w:val="decimal"/>
      <w:lvlText w:val="%4)"/>
      <w:lvlJc w:val="left"/>
      <w:pPr>
        <w:ind w:left="1020" w:hanging="360"/>
      </w:pPr>
    </w:lvl>
    <w:lvl w:ilvl="4" w:tplc="6FCEC138">
      <w:start w:val="1"/>
      <w:numFmt w:val="decimal"/>
      <w:lvlText w:val="%5)"/>
      <w:lvlJc w:val="left"/>
      <w:pPr>
        <w:ind w:left="1020" w:hanging="360"/>
      </w:pPr>
    </w:lvl>
    <w:lvl w:ilvl="5" w:tplc="36DCF7E8">
      <w:start w:val="1"/>
      <w:numFmt w:val="decimal"/>
      <w:lvlText w:val="%6)"/>
      <w:lvlJc w:val="left"/>
      <w:pPr>
        <w:ind w:left="1020" w:hanging="360"/>
      </w:pPr>
    </w:lvl>
    <w:lvl w:ilvl="6" w:tplc="27ECDB42">
      <w:start w:val="1"/>
      <w:numFmt w:val="decimal"/>
      <w:lvlText w:val="%7)"/>
      <w:lvlJc w:val="left"/>
      <w:pPr>
        <w:ind w:left="1020" w:hanging="360"/>
      </w:pPr>
    </w:lvl>
    <w:lvl w:ilvl="7" w:tplc="F82C65A0">
      <w:start w:val="1"/>
      <w:numFmt w:val="decimal"/>
      <w:lvlText w:val="%8)"/>
      <w:lvlJc w:val="left"/>
      <w:pPr>
        <w:ind w:left="1020" w:hanging="360"/>
      </w:pPr>
    </w:lvl>
    <w:lvl w:ilvl="8" w:tplc="4C12C4C6">
      <w:start w:val="1"/>
      <w:numFmt w:val="decimal"/>
      <w:lvlText w:val="%9)"/>
      <w:lvlJc w:val="left"/>
      <w:pPr>
        <w:ind w:left="1020" w:hanging="360"/>
      </w:pPr>
    </w:lvl>
  </w:abstractNum>
  <w:abstractNum w:abstractNumId="27" w15:restartNumberingAfterBreak="0">
    <w:nsid w:val="4BB63CF9"/>
    <w:multiLevelType w:val="hybridMultilevel"/>
    <w:tmpl w:val="A234258C"/>
    <w:lvl w:ilvl="0" w:tplc="E25805A6">
      <w:start w:val="1"/>
      <w:numFmt w:val="decimal"/>
      <w:lvlText w:val="%1)"/>
      <w:lvlJc w:val="left"/>
      <w:pPr>
        <w:ind w:left="1020" w:hanging="360"/>
      </w:pPr>
    </w:lvl>
    <w:lvl w:ilvl="1" w:tplc="EBAA57B0">
      <w:start w:val="1"/>
      <w:numFmt w:val="decimal"/>
      <w:lvlText w:val="%2)"/>
      <w:lvlJc w:val="left"/>
      <w:pPr>
        <w:ind w:left="1020" w:hanging="360"/>
      </w:pPr>
    </w:lvl>
    <w:lvl w:ilvl="2" w:tplc="954E6E8C">
      <w:start w:val="1"/>
      <w:numFmt w:val="decimal"/>
      <w:lvlText w:val="%3)"/>
      <w:lvlJc w:val="left"/>
      <w:pPr>
        <w:ind w:left="1020" w:hanging="360"/>
      </w:pPr>
    </w:lvl>
    <w:lvl w:ilvl="3" w:tplc="7CD69692">
      <w:start w:val="1"/>
      <w:numFmt w:val="decimal"/>
      <w:lvlText w:val="%4)"/>
      <w:lvlJc w:val="left"/>
      <w:pPr>
        <w:ind w:left="1020" w:hanging="360"/>
      </w:pPr>
    </w:lvl>
    <w:lvl w:ilvl="4" w:tplc="DFA45984">
      <w:start w:val="1"/>
      <w:numFmt w:val="decimal"/>
      <w:lvlText w:val="%5)"/>
      <w:lvlJc w:val="left"/>
      <w:pPr>
        <w:ind w:left="1020" w:hanging="360"/>
      </w:pPr>
    </w:lvl>
    <w:lvl w:ilvl="5" w:tplc="A7B0B932">
      <w:start w:val="1"/>
      <w:numFmt w:val="decimal"/>
      <w:lvlText w:val="%6)"/>
      <w:lvlJc w:val="left"/>
      <w:pPr>
        <w:ind w:left="1020" w:hanging="360"/>
      </w:pPr>
    </w:lvl>
    <w:lvl w:ilvl="6" w:tplc="6BE0F28E">
      <w:start w:val="1"/>
      <w:numFmt w:val="decimal"/>
      <w:lvlText w:val="%7)"/>
      <w:lvlJc w:val="left"/>
      <w:pPr>
        <w:ind w:left="1020" w:hanging="360"/>
      </w:pPr>
    </w:lvl>
    <w:lvl w:ilvl="7" w:tplc="B1768544">
      <w:start w:val="1"/>
      <w:numFmt w:val="decimal"/>
      <w:lvlText w:val="%8)"/>
      <w:lvlJc w:val="left"/>
      <w:pPr>
        <w:ind w:left="1020" w:hanging="360"/>
      </w:pPr>
    </w:lvl>
    <w:lvl w:ilvl="8" w:tplc="1138F0D0">
      <w:start w:val="1"/>
      <w:numFmt w:val="decimal"/>
      <w:lvlText w:val="%9)"/>
      <w:lvlJc w:val="left"/>
      <w:pPr>
        <w:ind w:left="1020" w:hanging="360"/>
      </w:pPr>
    </w:lvl>
  </w:abstractNum>
  <w:abstractNum w:abstractNumId="28" w15:restartNumberingAfterBreak="0">
    <w:nsid w:val="52803B03"/>
    <w:multiLevelType w:val="hybridMultilevel"/>
    <w:tmpl w:val="970409D0"/>
    <w:lvl w:ilvl="0" w:tplc="7C066E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85544"/>
    <w:multiLevelType w:val="hybridMultilevel"/>
    <w:tmpl w:val="4872BC84"/>
    <w:lvl w:ilvl="0" w:tplc="C2E21032">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EA517A"/>
    <w:multiLevelType w:val="hybridMultilevel"/>
    <w:tmpl w:val="4872BC84"/>
    <w:lvl w:ilvl="0" w:tplc="C2E21032">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252EC"/>
    <w:multiLevelType w:val="hybridMultilevel"/>
    <w:tmpl w:val="F5B0FF7A"/>
    <w:lvl w:ilvl="0" w:tplc="94D8CE70">
      <w:start w:val="1"/>
      <w:numFmt w:val="decimal"/>
      <w:lvlText w:val="%1)"/>
      <w:lvlJc w:val="left"/>
      <w:pPr>
        <w:ind w:left="1020" w:hanging="360"/>
      </w:pPr>
    </w:lvl>
    <w:lvl w:ilvl="1" w:tplc="500E989C">
      <w:start w:val="1"/>
      <w:numFmt w:val="decimal"/>
      <w:lvlText w:val="%2)"/>
      <w:lvlJc w:val="left"/>
      <w:pPr>
        <w:ind w:left="1020" w:hanging="360"/>
      </w:pPr>
    </w:lvl>
    <w:lvl w:ilvl="2" w:tplc="2A38EEDC">
      <w:start w:val="1"/>
      <w:numFmt w:val="decimal"/>
      <w:lvlText w:val="%3)"/>
      <w:lvlJc w:val="left"/>
      <w:pPr>
        <w:ind w:left="1020" w:hanging="360"/>
      </w:pPr>
    </w:lvl>
    <w:lvl w:ilvl="3" w:tplc="2DFC92F6">
      <w:start w:val="1"/>
      <w:numFmt w:val="decimal"/>
      <w:lvlText w:val="%4)"/>
      <w:lvlJc w:val="left"/>
      <w:pPr>
        <w:ind w:left="1020" w:hanging="360"/>
      </w:pPr>
    </w:lvl>
    <w:lvl w:ilvl="4" w:tplc="659C7588">
      <w:start w:val="1"/>
      <w:numFmt w:val="decimal"/>
      <w:lvlText w:val="%5)"/>
      <w:lvlJc w:val="left"/>
      <w:pPr>
        <w:ind w:left="1020" w:hanging="360"/>
      </w:pPr>
    </w:lvl>
    <w:lvl w:ilvl="5" w:tplc="816ED01C">
      <w:start w:val="1"/>
      <w:numFmt w:val="decimal"/>
      <w:lvlText w:val="%6)"/>
      <w:lvlJc w:val="left"/>
      <w:pPr>
        <w:ind w:left="1020" w:hanging="360"/>
      </w:pPr>
    </w:lvl>
    <w:lvl w:ilvl="6" w:tplc="643E24F2">
      <w:start w:val="1"/>
      <w:numFmt w:val="decimal"/>
      <w:lvlText w:val="%7)"/>
      <w:lvlJc w:val="left"/>
      <w:pPr>
        <w:ind w:left="1020" w:hanging="360"/>
      </w:pPr>
    </w:lvl>
    <w:lvl w:ilvl="7" w:tplc="C1D836FC">
      <w:start w:val="1"/>
      <w:numFmt w:val="decimal"/>
      <w:lvlText w:val="%8)"/>
      <w:lvlJc w:val="left"/>
      <w:pPr>
        <w:ind w:left="1020" w:hanging="360"/>
      </w:pPr>
    </w:lvl>
    <w:lvl w:ilvl="8" w:tplc="A992E696">
      <w:start w:val="1"/>
      <w:numFmt w:val="decimal"/>
      <w:lvlText w:val="%9)"/>
      <w:lvlJc w:val="left"/>
      <w:pPr>
        <w:ind w:left="1020" w:hanging="360"/>
      </w:pPr>
    </w:lvl>
  </w:abstractNum>
  <w:abstractNum w:abstractNumId="32" w15:restartNumberingAfterBreak="0">
    <w:nsid w:val="755C12A1"/>
    <w:multiLevelType w:val="hybridMultilevel"/>
    <w:tmpl w:val="1AC42094"/>
    <w:lvl w:ilvl="0" w:tplc="DE2847E2">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3" w15:restartNumberingAfterBreak="0">
    <w:nsid w:val="79F507A1"/>
    <w:multiLevelType w:val="multilevel"/>
    <w:tmpl w:val="AEB02C1A"/>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D85DCF"/>
    <w:multiLevelType w:val="hybridMultilevel"/>
    <w:tmpl w:val="4872BC84"/>
    <w:lvl w:ilvl="0" w:tplc="C2E21032">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002465">
    <w:abstractNumId w:val="9"/>
  </w:num>
  <w:num w:numId="2" w16cid:durableId="1811701629">
    <w:abstractNumId w:val="7"/>
  </w:num>
  <w:num w:numId="3" w16cid:durableId="1184857038">
    <w:abstractNumId w:val="6"/>
  </w:num>
  <w:num w:numId="4" w16cid:durableId="1264193076">
    <w:abstractNumId w:val="3"/>
  </w:num>
  <w:num w:numId="5" w16cid:durableId="1989743478">
    <w:abstractNumId w:val="10"/>
  </w:num>
  <w:num w:numId="6" w16cid:durableId="1771586621">
    <w:abstractNumId w:val="8"/>
  </w:num>
  <w:num w:numId="7" w16cid:durableId="1928880954">
    <w:abstractNumId w:val="28"/>
  </w:num>
  <w:num w:numId="8" w16cid:durableId="451705672">
    <w:abstractNumId w:val="33"/>
  </w:num>
  <w:num w:numId="9" w16cid:durableId="985860445">
    <w:abstractNumId w:val="24"/>
  </w:num>
  <w:num w:numId="10" w16cid:durableId="1110399483">
    <w:abstractNumId w:val="32"/>
  </w:num>
  <w:num w:numId="11" w16cid:durableId="46875625">
    <w:abstractNumId w:val="20"/>
  </w:num>
  <w:num w:numId="12" w16cid:durableId="2001106862">
    <w:abstractNumId w:val="9"/>
  </w:num>
  <w:num w:numId="13" w16cid:durableId="1497333646">
    <w:abstractNumId w:val="9"/>
  </w:num>
  <w:num w:numId="14" w16cid:durableId="1601260121">
    <w:abstractNumId w:val="16"/>
  </w:num>
  <w:num w:numId="15" w16cid:durableId="1961566230">
    <w:abstractNumId w:val="9"/>
  </w:num>
  <w:num w:numId="16" w16cid:durableId="1226717985">
    <w:abstractNumId w:val="14"/>
  </w:num>
  <w:num w:numId="17" w16cid:durableId="2085105841">
    <w:abstractNumId w:val="29"/>
  </w:num>
  <w:num w:numId="18" w16cid:durableId="836922477">
    <w:abstractNumId w:val="9"/>
    <w:lvlOverride w:ilvl="0">
      <w:startOverride w:val="1"/>
    </w:lvlOverride>
  </w:num>
  <w:num w:numId="19" w16cid:durableId="1442994444">
    <w:abstractNumId w:val="15"/>
  </w:num>
  <w:num w:numId="20" w16cid:durableId="1643384941">
    <w:abstractNumId w:val="25"/>
  </w:num>
  <w:num w:numId="21" w16cid:durableId="56713564">
    <w:abstractNumId w:val="30"/>
  </w:num>
  <w:num w:numId="22" w16cid:durableId="525756542">
    <w:abstractNumId w:val="19"/>
  </w:num>
  <w:num w:numId="23" w16cid:durableId="1417363937">
    <w:abstractNumId w:val="34"/>
  </w:num>
  <w:num w:numId="24" w16cid:durableId="1327856911">
    <w:abstractNumId w:val="9"/>
  </w:num>
  <w:num w:numId="25" w16cid:durableId="1191721438">
    <w:abstractNumId w:val="9"/>
  </w:num>
  <w:num w:numId="26" w16cid:durableId="953441936">
    <w:abstractNumId w:val="21"/>
  </w:num>
  <w:num w:numId="27" w16cid:durableId="1762481753">
    <w:abstractNumId w:val="11"/>
  </w:num>
  <w:num w:numId="28" w16cid:durableId="88544505">
    <w:abstractNumId w:val="23"/>
  </w:num>
  <w:num w:numId="29" w16cid:durableId="626088035">
    <w:abstractNumId w:val="5"/>
  </w:num>
  <w:num w:numId="30" w16cid:durableId="862520671">
    <w:abstractNumId w:val="4"/>
  </w:num>
  <w:num w:numId="31" w16cid:durableId="1152066915">
    <w:abstractNumId w:val="2"/>
  </w:num>
  <w:num w:numId="32" w16cid:durableId="253981820">
    <w:abstractNumId w:val="1"/>
  </w:num>
  <w:num w:numId="33" w16cid:durableId="277685947">
    <w:abstractNumId w:val="0"/>
  </w:num>
  <w:num w:numId="34" w16cid:durableId="226885833">
    <w:abstractNumId w:val="27"/>
  </w:num>
  <w:num w:numId="35" w16cid:durableId="1519537801">
    <w:abstractNumId w:val="18"/>
  </w:num>
  <w:num w:numId="36" w16cid:durableId="1655792522">
    <w:abstractNumId w:val="17"/>
  </w:num>
  <w:num w:numId="37" w16cid:durableId="1330326949">
    <w:abstractNumId w:val="13"/>
  </w:num>
  <w:num w:numId="38" w16cid:durableId="1432433916">
    <w:abstractNumId w:val="31"/>
  </w:num>
  <w:num w:numId="39" w16cid:durableId="1708985704">
    <w:abstractNumId w:val="10"/>
    <w:lvlOverride w:ilvl="0">
      <w:startOverride w:val="1"/>
    </w:lvlOverride>
  </w:num>
  <w:num w:numId="40" w16cid:durableId="352834">
    <w:abstractNumId w:val="10"/>
    <w:lvlOverride w:ilvl="0">
      <w:startOverride w:val="1"/>
    </w:lvlOverride>
  </w:num>
  <w:num w:numId="41" w16cid:durableId="1123156049">
    <w:abstractNumId w:val="26"/>
  </w:num>
  <w:num w:numId="42" w16cid:durableId="9642671">
    <w:abstractNumId w:val="22"/>
  </w:num>
  <w:num w:numId="43" w16cid:durableId="771047757">
    <w:abstractNumId w:val="12"/>
  </w:num>
  <w:num w:numId="44" w16cid:durableId="107134368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EC"/>
    <w:rsid w:val="0000000B"/>
    <w:rsid w:val="000008D3"/>
    <w:rsid w:val="000010BE"/>
    <w:rsid w:val="000011F2"/>
    <w:rsid w:val="00001779"/>
    <w:rsid w:val="00001994"/>
    <w:rsid w:val="00001DDF"/>
    <w:rsid w:val="00001E99"/>
    <w:rsid w:val="0000228B"/>
    <w:rsid w:val="00002323"/>
    <w:rsid w:val="00002787"/>
    <w:rsid w:val="00002939"/>
    <w:rsid w:val="00002F3F"/>
    <w:rsid w:val="000030D4"/>
    <w:rsid w:val="0000328D"/>
    <w:rsid w:val="00003402"/>
    <w:rsid w:val="000034D9"/>
    <w:rsid w:val="000038AA"/>
    <w:rsid w:val="000039BB"/>
    <w:rsid w:val="00003BE5"/>
    <w:rsid w:val="00003D44"/>
    <w:rsid w:val="00003F5F"/>
    <w:rsid w:val="00003FC4"/>
    <w:rsid w:val="0000417D"/>
    <w:rsid w:val="000041B8"/>
    <w:rsid w:val="0000426B"/>
    <w:rsid w:val="000042A5"/>
    <w:rsid w:val="00004D58"/>
    <w:rsid w:val="00004E47"/>
    <w:rsid w:val="000052CC"/>
    <w:rsid w:val="000054C3"/>
    <w:rsid w:val="00005621"/>
    <w:rsid w:val="000056FB"/>
    <w:rsid w:val="000059C7"/>
    <w:rsid w:val="00005EE9"/>
    <w:rsid w:val="00005FC9"/>
    <w:rsid w:val="00005FD2"/>
    <w:rsid w:val="00005FF4"/>
    <w:rsid w:val="00006505"/>
    <w:rsid w:val="000067BB"/>
    <w:rsid w:val="00006C69"/>
    <w:rsid w:val="00006DA8"/>
    <w:rsid w:val="00006E9C"/>
    <w:rsid w:val="0000708B"/>
    <w:rsid w:val="000079FA"/>
    <w:rsid w:val="00007A06"/>
    <w:rsid w:val="00007B54"/>
    <w:rsid w:val="00007B80"/>
    <w:rsid w:val="00007CB0"/>
    <w:rsid w:val="00007DA9"/>
    <w:rsid w:val="00007DB7"/>
    <w:rsid w:val="0001035E"/>
    <w:rsid w:val="000103D2"/>
    <w:rsid w:val="000105E5"/>
    <w:rsid w:val="000105F8"/>
    <w:rsid w:val="00010736"/>
    <w:rsid w:val="000107DB"/>
    <w:rsid w:val="00010896"/>
    <w:rsid w:val="00010CD3"/>
    <w:rsid w:val="00011108"/>
    <w:rsid w:val="0001185A"/>
    <w:rsid w:val="00011AA6"/>
    <w:rsid w:val="00011DD8"/>
    <w:rsid w:val="0001255C"/>
    <w:rsid w:val="000127F4"/>
    <w:rsid w:val="000128DB"/>
    <w:rsid w:val="00012BA6"/>
    <w:rsid w:val="00012E66"/>
    <w:rsid w:val="00012E96"/>
    <w:rsid w:val="000131D6"/>
    <w:rsid w:val="00013273"/>
    <w:rsid w:val="00013444"/>
    <w:rsid w:val="00013EF8"/>
    <w:rsid w:val="000146FA"/>
    <w:rsid w:val="00014702"/>
    <w:rsid w:val="00014922"/>
    <w:rsid w:val="00015071"/>
    <w:rsid w:val="000150A9"/>
    <w:rsid w:val="0001552F"/>
    <w:rsid w:val="00015580"/>
    <w:rsid w:val="000156B4"/>
    <w:rsid w:val="00015915"/>
    <w:rsid w:val="00015D96"/>
    <w:rsid w:val="0001601F"/>
    <w:rsid w:val="00016373"/>
    <w:rsid w:val="000163A7"/>
    <w:rsid w:val="000165A9"/>
    <w:rsid w:val="000166F0"/>
    <w:rsid w:val="00016D61"/>
    <w:rsid w:val="00016F20"/>
    <w:rsid w:val="00016FCE"/>
    <w:rsid w:val="00017093"/>
    <w:rsid w:val="000175CD"/>
    <w:rsid w:val="00017B32"/>
    <w:rsid w:val="00017D5C"/>
    <w:rsid w:val="00017D86"/>
    <w:rsid w:val="00017E76"/>
    <w:rsid w:val="00017E93"/>
    <w:rsid w:val="0002033F"/>
    <w:rsid w:val="000203BB"/>
    <w:rsid w:val="00020590"/>
    <w:rsid w:val="00020760"/>
    <w:rsid w:val="00020CCD"/>
    <w:rsid w:val="00021072"/>
    <w:rsid w:val="000213B3"/>
    <w:rsid w:val="000217E2"/>
    <w:rsid w:val="00021D9A"/>
    <w:rsid w:val="00021DA9"/>
    <w:rsid w:val="00021DBA"/>
    <w:rsid w:val="00022164"/>
    <w:rsid w:val="000226F6"/>
    <w:rsid w:val="00022B21"/>
    <w:rsid w:val="00022E61"/>
    <w:rsid w:val="00022E66"/>
    <w:rsid w:val="00022F39"/>
    <w:rsid w:val="00022FE4"/>
    <w:rsid w:val="00023064"/>
    <w:rsid w:val="0002337D"/>
    <w:rsid w:val="00023405"/>
    <w:rsid w:val="00023618"/>
    <w:rsid w:val="00023E57"/>
    <w:rsid w:val="00024173"/>
    <w:rsid w:val="000243D8"/>
    <w:rsid w:val="00024442"/>
    <w:rsid w:val="00024979"/>
    <w:rsid w:val="00024F27"/>
    <w:rsid w:val="00024F2E"/>
    <w:rsid w:val="00024F4B"/>
    <w:rsid w:val="00025305"/>
    <w:rsid w:val="000257A5"/>
    <w:rsid w:val="000261C4"/>
    <w:rsid w:val="0002621A"/>
    <w:rsid w:val="000262AA"/>
    <w:rsid w:val="00026435"/>
    <w:rsid w:val="00026802"/>
    <w:rsid w:val="000268E7"/>
    <w:rsid w:val="00026AA4"/>
    <w:rsid w:val="00026F6F"/>
    <w:rsid w:val="000271FF"/>
    <w:rsid w:val="000273B7"/>
    <w:rsid w:val="00027414"/>
    <w:rsid w:val="000274F5"/>
    <w:rsid w:val="0002756F"/>
    <w:rsid w:val="0002771F"/>
    <w:rsid w:val="0002774D"/>
    <w:rsid w:val="0002798D"/>
    <w:rsid w:val="00027AE5"/>
    <w:rsid w:val="000300A6"/>
    <w:rsid w:val="000300CF"/>
    <w:rsid w:val="0003030F"/>
    <w:rsid w:val="0003053C"/>
    <w:rsid w:val="00030ED8"/>
    <w:rsid w:val="000310A5"/>
    <w:rsid w:val="000311DE"/>
    <w:rsid w:val="000312A6"/>
    <w:rsid w:val="000313D5"/>
    <w:rsid w:val="0003143E"/>
    <w:rsid w:val="000314D2"/>
    <w:rsid w:val="0003157C"/>
    <w:rsid w:val="00031772"/>
    <w:rsid w:val="00031B32"/>
    <w:rsid w:val="00031D75"/>
    <w:rsid w:val="0003274F"/>
    <w:rsid w:val="0003276E"/>
    <w:rsid w:val="00032851"/>
    <w:rsid w:val="00032D2E"/>
    <w:rsid w:val="00032D6D"/>
    <w:rsid w:val="00033135"/>
    <w:rsid w:val="00033221"/>
    <w:rsid w:val="0003347E"/>
    <w:rsid w:val="00033500"/>
    <w:rsid w:val="00033552"/>
    <w:rsid w:val="000336FD"/>
    <w:rsid w:val="00033B19"/>
    <w:rsid w:val="00033CB5"/>
    <w:rsid w:val="00033D4C"/>
    <w:rsid w:val="00033E26"/>
    <w:rsid w:val="00034004"/>
    <w:rsid w:val="0003425E"/>
    <w:rsid w:val="0003469E"/>
    <w:rsid w:val="000346A1"/>
    <w:rsid w:val="00034ADA"/>
    <w:rsid w:val="00034C71"/>
    <w:rsid w:val="00034F01"/>
    <w:rsid w:val="000352BA"/>
    <w:rsid w:val="000353CD"/>
    <w:rsid w:val="00035480"/>
    <w:rsid w:val="00035493"/>
    <w:rsid w:val="00035880"/>
    <w:rsid w:val="000359A2"/>
    <w:rsid w:val="00035C67"/>
    <w:rsid w:val="00035D34"/>
    <w:rsid w:val="0003627B"/>
    <w:rsid w:val="000363DB"/>
    <w:rsid w:val="000365C9"/>
    <w:rsid w:val="000366EF"/>
    <w:rsid w:val="000367FB"/>
    <w:rsid w:val="00036852"/>
    <w:rsid w:val="00036BA1"/>
    <w:rsid w:val="00036DF2"/>
    <w:rsid w:val="00036FB1"/>
    <w:rsid w:val="00036FF7"/>
    <w:rsid w:val="000371BF"/>
    <w:rsid w:val="000373C7"/>
    <w:rsid w:val="000375FB"/>
    <w:rsid w:val="000378F9"/>
    <w:rsid w:val="00037CC7"/>
    <w:rsid w:val="0004001C"/>
    <w:rsid w:val="000402B1"/>
    <w:rsid w:val="00040311"/>
    <w:rsid w:val="00040495"/>
    <w:rsid w:val="000404F8"/>
    <w:rsid w:val="00040585"/>
    <w:rsid w:val="000405AF"/>
    <w:rsid w:val="00040A11"/>
    <w:rsid w:val="00040C10"/>
    <w:rsid w:val="00040C4E"/>
    <w:rsid w:val="00041174"/>
    <w:rsid w:val="000412EA"/>
    <w:rsid w:val="0004134B"/>
    <w:rsid w:val="00041464"/>
    <w:rsid w:val="0004186B"/>
    <w:rsid w:val="00041A0B"/>
    <w:rsid w:val="00041A44"/>
    <w:rsid w:val="00041AA7"/>
    <w:rsid w:val="00041B13"/>
    <w:rsid w:val="00041C34"/>
    <w:rsid w:val="00041E11"/>
    <w:rsid w:val="00041E1D"/>
    <w:rsid w:val="00041EE2"/>
    <w:rsid w:val="0004200B"/>
    <w:rsid w:val="000420A0"/>
    <w:rsid w:val="00042271"/>
    <w:rsid w:val="000422BB"/>
    <w:rsid w:val="00042541"/>
    <w:rsid w:val="000427DF"/>
    <w:rsid w:val="00043684"/>
    <w:rsid w:val="00043EE8"/>
    <w:rsid w:val="00043EEB"/>
    <w:rsid w:val="00044419"/>
    <w:rsid w:val="00044620"/>
    <w:rsid w:val="0004463D"/>
    <w:rsid w:val="0004467C"/>
    <w:rsid w:val="000448A7"/>
    <w:rsid w:val="00044B66"/>
    <w:rsid w:val="00044B67"/>
    <w:rsid w:val="00044E9E"/>
    <w:rsid w:val="00045770"/>
    <w:rsid w:val="000457F3"/>
    <w:rsid w:val="0004580E"/>
    <w:rsid w:val="0004593D"/>
    <w:rsid w:val="00045B17"/>
    <w:rsid w:val="000461EE"/>
    <w:rsid w:val="000462E6"/>
    <w:rsid w:val="00046396"/>
    <w:rsid w:val="00046650"/>
    <w:rsid w:val="00046662"/>
    <w:rsid w:val="00046701"/>
    <w:rsid w:val="0004686E"/>
    <w:rsid w:val="00046D85"/>
    <w:rsid w:val="00047289"/>
    <w:rsid w:val="000473BE"/>
    <w:rsid w:val="00047836"/>
    <w:rsid w:val="00047BCC"/>
    <w:rsid w:val="00047F38"/>
    <w:rsid w:val="00050295"/>
    <w:rsid w:val="000505FA"/>
    <w:rsid w:val="000509F9"/>
    <w:rsid w:val="00050C31"/>
    <w:rsid w:val="00050C90"/>
    <w:rsid w:val="00050FB1"/>
    <w:rsid w:val="00051171"/>
    <w:rsid w:val="000511C1"/>
    <w:rsid w:val="00051937"/>
    <w:rsid w:val="00051DB2"/>
    <w:rsid w:val="000521DD"/>
    <w:rsid w:val="0005225F"/>
    <w:rsid w:val="000522DA"/>
    <w:rsid w:val="000524DC"/>
    <w:rsid w:val="000524EA"/>
    <w:rsid w:val="000525D1"/>
    <w:rsid w:val="00052B6C"/>
    <w:rsid w:val="00052D33"/>
    <w:rsid w:val="00052DD2"/>
    <w:rsid w:val="00053278"/>
    <w:rsid w:val="00053395"/>
    <w:rsid w:val="00053624"/>
    <w:rsid w:val="00053F6A"/>
    <w:rsid w:val="00054031"/>
    <w:rsid w:val="000541F3"/>
    <w:rsid w:val="000543DA"/>
    <w:rsid w:val="00054721"/>
    <w:rsid w:val="0005472B"/>
    <w:rsid w:val="0005479F"/>
    <w:rsid w:val="00054BA8"/>
    <w:rsid w:val="00054D83"/>
    <w:rsid w:val="00054F6B"/>
    <w:rsid w:val="00054FB9"/>
    <w:rsid w:val="000551BE"/>
    <w:rsid w:val="0005591D"/>
    <w:rsid w:val="0005598C"/>
    <w:rsid w:val="00055994"/>
    <w:rsid w:val="00055C52"/>
    <w:rsid w:val="00055D35"/>
    <w:rsid w:val="00055F9E"/>
    <w:rsid w:val="00056036"/>
    <w:rsid w:val="00056120"/>
    <w:rsid w:val="000561A7"/>
    <w:rsid w:val="000563ED"/>
    <w:rsid w:val="00056A08"/>
    <w:rsid w:val="00057243"/>
    <w:rsid w:val="00057424"/>
    <w:rsid w:val="00057553"/>
    <w:rsid w:val="00057E11"/>
    <w:rsid w:val="00060011"/>
    <w:rsid w:val="00060070"/>
    <w:rsid w:val="00060617"/>
    <w:rsid w:val="0006065A"/>
    <w:rsid w:val="00060A67"/>
    <w:rsid w:val="00060C92"/>
    <w:rsid w:val="00060E28"/>
    <w:rsid w:val="000615A2"/>
    <w:rsid w:val="0006198D"/>
    <w:rsid w:val="00061B85"/>
    <w:rsid w:val="00061E9F"/>
    <w:rsid w:val="000621EC"/>
    <w:rsid w:val="000622A8"/>
    <w:rsid w:val="0006241B"/>
    <w:rsid w:val="000625D5"/>
    <w:rsid w:val="00062BBA"/>
    <w:rsid w:val="00062D68"/>
    <w:rsid w:val="00063AAC"/>
    <w:rsid w:val="00063D31"/>
    <w:rsid w:val="00063FE0"/>
    <w:rsid w:val="00064012"/>
    <w:rsid w:val="00064771"/>
    <w:rsid w:val="0006488A"/>
    <w:rsid w:val="00064D08"/>
    <w:rsid w:val="000652BD"/>
    <w:rsid w:val="000653B7"/>
    <w:rsid w:val="00065611"/>
    <w:rsid w:val="00065958"/>
    <w:rsid w:val="00065E51"/>
    <w:rsid w:val="00066044"/>
    <w:rsid w:val="0006648A"/>
    <w:rsid w:val="0006648C"/>
    <w:rsid w:val="00066614"/>
    <w:rsid w:val="00066C1C"/>
    <w:rsid w:val="00066C63"/>
    <w:rsid w:val="000670B0"/>
    <w:rsid w:val="0006718E"/>
    <w:rsid w:val="0006724C"/>
    <w:rsid w:val="00067550"/>
    <w:rsid w:val="000675A2"/>
    <w:rsid w:val="00067C74"/>
    <w:rsid w:val="00067DBA"/>
    <w:rsid w:val="000700A0"/>
    <w:rsid w:val="000700BA"/>
    <w:rsid w:val="000703F7"/>
    <w:rsid w:val="0007059F"/>
    <w:rsid w:val="00070A22"/>
    <w:rsid w:val="000714E7"/>
    <w:rsid w:val="00071526"/>
    <w:rsid w:val="000716BA"/>
    <w:rsid w:val="000717AD"/>
    <w:rsid w:val="00071894"/>
    <w:rsid w:val="00071B05"/>
    <w:rsid w:val="00071CFC"/>
    <w:rsid w:val="00072061"/>
    <w:rsid w:val="00072092"/>
    <w:rsid w:val="000721E3"/>
    <w:rsid w:val="00072B6B"/>
    <w:rsid w:val="00072D52"/>
    <w:rsid w:val="00073022"/>
    <w:rsid w:val="000734B4"/>
    <w:rsid w:val="00073ED6"/>
    <w:rsid w:val="00073F00"/>
    <w:rsid w:val="00074387"/>
    <w:rsid w:val="000744A7"/>
    <w:rsid w:val="00074844"/>
    <w:rsid w:val="00074B76"/>
    <w:rsid w:val="00074D56"/>
    <w:rsid w:val="000751A8"/>
    <w:rsid w:val="000755FD"/>
    <w:rsid w:val="000757FB"/>
    <w:rsid w:val="0007592C"/>
    <w:rsid w:val="00075943"/>
    <w:rsid w:val="00075A97"/>
    <w:rsid w:val="00075BF5"/>
    <w:rsid w:val="00075CA9"/>
    <w:rsid w:val="00075CFE"/>
    <w:rsid w:val="00075E55"/>
    <w:rsid w:val="000763EB"/>
    <w:rsid w:val="000764F3"/>
    <w:rsid w:val="00076A42"/>
    <w:rsid w:val="00076A62"/>
    <w:rsid w:val="00076B23"/>
    <w:rsid w:val="00076B7F"/>
    <w:rsid w:val="00076B81"/>
    <w:rsid w:val="00076D6A"/>
    <w:rsid w:val="000770DC"/>
    <w:rsid w:val="00077112"/>
    <w:rsid w:val="0007728E"/>
    <w:rsid w:val="00077A90"/>
    <w:rsid w:val="00077D99"/>
    <w:rsid w:val="00080275"/>
    <w:rsid w:val="000804FB"/>
    <w:rsid w:val="00080A67"/>
    <w:rsid w:val="00080CDB"/>
    <w:rsid w:val="00080E82"/>
    <w:rsid w:val="00080FF4"/>
    <w:rsid w:val="00081146"/>
    <w:rsid w:val="000814B9"/>
    <w:rsid w:val="00081729"/>
    <w:rsid w:val="00081B8D"/>
    <w:rsid w:val="00081CAB"/>
    <w:rsid w:val="00081FB9"/>
    <w:rsid w:val="0008204E"/>
    <w:rsid w:val="0008242D"/>
    <w:rsid w:val="0008253E"/>
    <w:rsid w:val="00082776"/>
    <w:rsid w:val="00082941"/>
    <w:rsid w:val="00082BFC"/>
    <w:rsid w:val="00082E91"/>
    <w:rsid w:val="00082ED5"/>
    <w:rsid w:val="000830C2"/>
    <w:rsid w:val="00083107"/>
    <w:rsid w:val="00083434"/>
    <w:rsid w:val="00083474"/>
    <w:rsid w:val="000834A8"/>
    <w:rsid w:val="0008375F"/>
    <w:rsid w:val="000837CC"/>
    <w:rsid w:val="00083D54"/>
    <w:rsid w:val="000842B0"/>
    <w:rsid w:val="00084A83"/>
    <w:rsid w:val="00084C16"/>
    <w:rsid w:val="00084C5E"/>
    <w:rsid w:val="00084CA7"/>
    <w:rsid w:val="00084DAF"/>
    <w:rsid w:val="0008519F"/>
    <w:rsid w:val="00085569"/>
    <w:rsid w:val="0008558C"/>
    <w:rsid w:val="0008558D"/>
    <w:rsid w:val="00085805"/>
    <w:rsid w:val="00085D02"/>
    <w:rsid w:val="00085E79"/>
    <w:rsid w:val="00085EBA"/>
    <w:rsid w:val="00085F16"/>
    <w:rsid w:val="000860C4"/>
    <w:rsid w:val="00086269"/>
    <w:rsid w:val="00086358"/>
    <w:rsid w:val="00086732"/>
    <w:rsid w:val="0008680D"/>
    <w:rsid w:val="00086A42"/>
    <w:rsid w:val="00086C3D"/>
    <w:rsid w:val="00086C4E"/>
    <w:rsid w:val="00087A30"/>
    <w:rsid w:val="00087E42"/>
    <w:rsid w:val="00087EDC"/>
    <w:rsid w:val="0009008A"/>
    <w:rsid w:val="00090889"/>
    <w:rsid w:val="00090B74"/>
    <w:rsid w:val="00090D34"/>
    <w:rsid w:val="00090F0D"/>
    <w:rsid w:val="000912F1"/>
    <w:rsid w:val="00091B6D"/>
    <w:rsid w:val="00091D37"/>
    <w:rsid w:val="00091E57"/>
    <w:rsid w:val="00092081"/>
    <w:rsid w:val="000924E2"/>
    <w:rsid w:val="00092558"/>
    <w:rsid w:val="000927D9"/>
    <w:rsid w:val="00092817"/>
    <w:rsid w:val="00092BB2"/>
    <w:rsid w:val="00092D35"/>
    <w:rsid w:val="00092EA8"/>
    <w:rsid w:val="00092F09"/>
    <w:rsid w:val="00093047"/>
    <w:rsid w:val="000932B4"/>
    <w:rsid w:val="0009334F"/>
    <w:rsid w:val="00093365"/>
    <w:rsid w:val="00093705"/>
    <w:rsid w:val="000939CC"/>
    <w:rsid w:val="00093B03"/>
    <w:rsid w:val="00094388"/>
    <w:rsid w:val="00094B51"/>
    <w:rsid w:val="0009531C"/>
    <w:rsid w:val="00095763"/>
    <w:rsid w:val="00095B21"/>
    <w:rsid w:val="00095DCB"/>
    <w:rsid w:val="00096186"/>
    <w:rsid w:val="000968FC"/>
    <w:rsid w:val="00096992"/>
    <w:rsid w:val="00096B83"/>
    <w:rsid w:val="00096CDA"/>
    <w:rsid w:val="00096DC0"/>
    <w:rsid w:val="00096DC9"/>
    <w:rsid w:val="00096E8D"/>
    <w:rsid w:val="00096F58"/>
    <w:rsid w:val="00097284"/>
    <w:rsid w:val="0009729E"/>
    <w:rsid w:val="00097355"/>
    <w:rsid w:val="00097385"/>
    <w:rsid w:val="00097471"/>
    <w:rsid w:val="0009777D"/>
    <w:rsid w:val="00097788"/>
    <w:rsid w:val="00097B74"/>
    <w:rsid w:val="00097C86"/>
    <w:rsid w:val="000A086A"/>
    <w:rsid w:val="000A0E5F"/>
    <w:rsid w:val="000A1403"/>
    <w:rsid w:val="000A1428"/>
    <w:rsid w:val="000A16F7"/>
    <w:rsid w:val="000A1922"/>
    <w:rsid w:val="000A19DB"/>
    <w:rsid w:val="000A217D"/>
    <w:rsid w:val="000A219A"/>
    <w:rsid w:val="000A2397"/>
    <w:rsid w:val="000A264F"/>
    <w:rsid w:val="000A2F8D"/>
    <w:rsid w:val="000A3621"/>
    <w:rsid w:val="000A3637"/>
    <w:rsid w:val="000A3755"/>
    <w:rsid w:val="000A38F6"/>
    <w:rsid w:val="000A3B6D"/>
    <w:rsid w:val="000A3E5C"/>
    <w:rsid w:val="000A3EA9"/>
    <w:rsid w:val="000A4668"/>
    <w:rsid w:val="000A4692"/>
    <w:rsid w:val="000A4935"/>
    <w:rsid w:val="000A4A28"/>
    <w:rsid w:val="000A4F6B"/>
    <w:rsid w:val="000A51B6"/>
    <w:rsid w:val="000A52F3"/>
    <w:rsid w:val="000A538F"/>
    <w:rsid w:val="000A5650"/>
    <w:rsid w:val="000A5890"/>
    <w:rsid w:val="000A5960"/>
    <w:rsid w:val="000A5A6B"/>
    <w:rsid w:val="000A5AE7"/>
    <w:rsid w:val="000A5BE7"/>
    <w:rsid w:val="000A5CB4"/>
    <w:rsid w:val="000A5CDB"/>
    <w:rsid w:val="000A6018"/>
    <w:rsid w:val="000A66C3"/>
    <w:rsid w:val="000A66E1"/>
    <w:rsid w:val="000A680B"/>
    <w:rsid w:val="000A6F3D"/>
    <w:rsid w:val="000A7019"/>
    <w:rsid w:val="000A736F"/>
    <w:rsid w:val="000A742E"/>
    <w:rsid w:val="000A7447"/>
    <w:rsid w:val="000A75DF"/>
    <w:rsid w:val="000A7773"/>
    <w:rsid w:val="000A7928"/>
    <w:rsid w:val="000A7AB9"/>
    <w:rsid w:val="000A7D52"/>
    <w:rsid w:val="000B0045"/>
    <w:rsid w:val="000B00A1"/>
    <w:rsid w:val="000B0345"/>
    <w:rsid w:val="000B066C"/>
    <w:rsid w:val="000B0756"/>
    <w:rsid w:val="000B079F"/>
    <w:rsid w:val="000B0AB1"/>
    <w:rsid w:val="000B0EAB"/>
    <w:rsid w:val="000B1022"/>
    <w:rsid w:val="000B1282"/>
    <w:rsid w:val="000B14EF"/>
    <w:rsid w:val="000B1B7A"/>
    <w:rsid w:val="000B1BAC"/>
    <w:rsid w:val="000B1CA9"/>
    <w:rsid w:val="000B1D81"/>
    <w:rsid w:val="000B20DC"/>
    <w:rsid w:val="000B2262"/>
    <w:rsid w:val="000B2FFF"/>
    <w:rsid w:val="000B30EF"/>
    <w:rsid w:val="000B336A"/>
    <w:rsid w:val="000B3485"/>
    <w:rsid w:val="000B37A0"/>
    <w:rsid w:val="000B37C5"/>
    <w:rsid w:val="000B37FC"/>
    <w:rsid w:val="000B3B66"/>
    <w:rsid w:val="000B3D48"/>
    <w:rsid w:val="000B3D81"/>
    <w:rsid w:val="000B4084"/>
    <w:rsid w:val="000B42A5"/>
    <w:rsid w:val="000B439B"/>
    <w:rsid w:val="000B4626"/>
    <w:rsid w:val="000B4B6F"/>
    <w:rsid w:val="000B4B74"/>
    <w:rsid w:val="000B4D13"/>
    <w:rsid w:val="000B4DC6"/>
    <w:rsid w:val="000B4F8E"/>
    <w:rsid w:val="000B54CD"/>
    <w:rsid w:val="000B54DE"/>
    <w:rsid w:val="000B55C8"/>
    <w:rsid w:val="000B5685"/>
    <w:rsid w:val="000B56D6"/>
    <w:rsid w:val="000B57BD"/>
    <w:rsid w:val="000B58F4"/>
    <w:rsid w:val="000B5A1F"/>
    <w:rsid w:val="000B5A7E"/>
    <w:rsid w:val="000B5B7B"/>
    <w:rsid w:val="000B6571"/>
    <w:rsid w:val="000B6579"/>
    <w:rsid w:val="000B6878"/>
    <w:rsid w:val="000B69B8"/>
    <w:rsid w:val="000B6A4D"/>
    <w:rsid w:val="000B6EE5"/>
    <w:rsid w:val="000B7107"/>
    <w:rsid w:val="000B73A0"/>
    <w:rsid w:val="000B7882"/>
    <w:rsid w:val="000B7A84"/>
    <w:rsid w:val="000C0022"/>
    <w:rsid w:val="000C01C4"/>
    <w:rsid w:val="000C0482"/>
    <w:rsid w:val="000C0483"/>
    <w:rsid w:val="000C0484"/>
    <w:rsid w:val="000C0576"/>
    <w:rsid w:val="000C06A9"/>
    <w:rsid w:val="000C0754"/>
    <w:rsid w:val="000C09EA"/>
    <w:rsid w:val="000C0B3C"/>
    <w:rsid w:val="000C0B72"/>
    <w:rsid w:val="000C0F3E"/>
    <w:rsid w:val="000C1452"/>
    <w:rsid w:val="000C1537"/>
    <w:rsid w:val="000C1581"/>
    <w:rsid w:val="000C1620"/>
    <w:rsid w:val="000C1B6B"/>
    <w:rsid w:val="000C2157"/>
    <w:rsid w:val="000C224D"/>
    <w:rsid w:val="000C2971"/>
    <w:rsid w:val="000C300A"/>
    <w:rsid w:val="000C3180"/>
    <w:rsid w:val="000C328E"/>
    <w:rsid w:val="000C344E"/>
    <w:rsid w:val="000C347E"/>
    <w:rsid w:val="000C3A3E"/>
    <w:rsid w:val="000C3D23"/>
    <w:rsid w:val="000C3F9C"/>
    <w:rsid w:val="000C46C4"/>
    <w:rsid w:val="000C4C7F"/>
    <w:rsid w:val="000C4D27"/>
    <w:rsid w:val="000C51B1"/>
    <w:rsid w:val="000C527A"/>
    <w:rsid w:val="000C5348"/>
    <w:rsid w:val="000C53DE"/>
    <w:rsid w:val="000C5F84"/>
    <w:rsid w:val="000C65FC"/>
    <w:rsid w:val="000C6DFB"/>
    <w:rsid w:val="000C6FDB"/>
    <w:rsid w:val="000C7A5C"/>
    <w:rsid w:val="000C7E26"/>
    <w:rsid w:val="000D0203"/>
    <w:rsid w:val="000D05DA"/>
    <w:rsid w:val="000D067D"/>
    <w:rsid w:val="000D0AFC"/>
    <w:rsid w:val="000D0C02"/>
    <w:rsid w:val="000D0F5B"/>
    <w:rsid w:val="000D1713"/>
    <w:rsid w:val="000D18CC"/>
    <w:rsid w:val="000D1E82"/>
    <w:rsid w:val="000D201E"/>
    <w:rsid w:val="000D21CE"/>
    <w:rsid w:val="000D23EC"/>
    <w:rsid w:val="000D245E"/>
    <w:rsid w:val="000D2587"/>
    <w:rsid w:val="000D2594"/>
    <w:rsid w:val="000D26C3"/>
    <w:rsid w:val="000D2A21"/>
    <w:rsid w:val="000D2B6F"/>
    <w:rsid w:val="000D2D6D"/>
    <w:rsid w:val="000D2DD5"/>
    <w:rsid w:val="000D2DEC"/>
    <w:rsid w:val="000D334A"/>
    <w:rsid w:val="000D3447"/>
    <w:rsid w:val="000D34A8"/>
    <w:rsid w:val="000D34BB"/>
    <w:rsid w:val="000D3598"/>
    <w:rsid w:val="000D368E"/>
    <w:rsid w:val="000D3C31"/>
    <w:rsid w:val="000D482D"/>
    <w:rsid w:val="000D484D"/>
    <w:rsid w:val="000D4972"/>
    <w:rsid w:val="000D4D85"/>
    <w:rsid w:val="000D4FFE"/>
    <w:rsid w:val="000D50DD"/>
    <w:rsid w:val="000D51C8"/>
    <w:rsid w:val="000D572F"/>
    <w:rsid w:val="000D583F"/>
    <w:rsid w:val="000D5D85"/>
    <w:rsid w:val="000D5E19"/>
    <w:rsid w:val="000D6E2A"/>
    <w:rsid w:val="000D74C2"/>
    <w:rsid w:val="000D74C4"/>
    <w:rsid w:val="000D7679"/>
    <w:rsid w:val="000D767B"/>
    <w:rsid w:val="000D78F8"/>
    <w:rsid w:val="000D79E6"/>
    <w:rsid w:val="000D7AB5"/>
    <w:rsid w:val="000D7DE2"/>
    <w:rsid w:val="000D7E10"/>
    <w:rsid w:val="000E0687"/>
    <w:rsid w:val="000E06AD"/>
    <w:rsid w:val="000E085A"/>
    <w:rsid w:val="000E0EB4"/>
    <w:rsid w:val="000E0FC1"/>
    <w:rsid w:val="000E12D2"/>
    <w:rsid w:val="000E1339"/>
    <w:rsid w:val="000E17BF"/>
    <w:rsid w:val="000E1842"/>
    <w:rsid w:val="000E1BE1"/>
    <w:rsid w:val="000E1CBD"/>
    <w:rsid w:val="000E1DFA"/>
    <w:rsid w:val="000E22E5"/>
    <w:rsid w:val="000E24AE"/>
    <w:rsid w:val="000E2529"/>
    <w:rsid w:val="000E268E"/>
    <w:rsid w:val="000E27F2"/>
    <w:rsid w:val="000E2907"/>
    <w:rsid w:val="000E2B5A"/>
    <w:rsid w:val="000E2D16"/>
    <w:rsid w:val="000E2D54"/>
    <w:rsid w:val="000E3F31"/>
    <w:rsid w:val="000E3F7E"/>
    <w:rsid w:val="000E4311"/>
    <w:rsid w:val="000E480C"/>
    <w:rsid w:val="000E4962"/>
    <w:rsid w:val="000E4985"/>
    <w:rsid w:val="000E4C93"/>
    <w:rsid w:val="000E4DC2"/>
    <w:rsid w:val="000E4E07"/>
    <w:rsid w:val="000E4EEB"/>
    <w:rsid w:val="000E5636"/>
    <w:rsid w:val="000E5708"/>
    <w:rsid w:val="000E5910"/>
    <w:rsid w:val="000E5E57"/>
    <w:rsid w:val="000E601B"/>
    <w:rsid w:val="000E610C"/>
    <w:rsid w:val="000E69E9"/>
    <w:rsid w:val="000E6B63"/>
    <w:rsid w:val="000E6BB9"/>
    <w:rsid w:val="000E6BC9"/>
    <w:rsid w:val="000E6D2A"/>
    <w:rsid w:val="000E76BD"/>
    <w:rsid w:val="000E7936"/>
    <w:rsid w:val="000E7EF0"/>
    <w:rsid w:val="000F017D"/>
    <w:rsid w:val="000F0228"/>
    <w:rsid w:val="000F0416"/>
    <w:rsid w:val="000F053D"/>
    <w:rsid w:val="000F058A"/>
    <w:rsid w:val="000F0C62"/>
    <w:rsid w:val="000F0D8E"/>
    <w:rsid w:val="000F0F7C"/>
    <w:rsid w:val="000F1232"/>
    <w:rsid w:val="000F1423"/>
    <w:rsid w:val="000F17A6"/>
    <w:rsid w:val="000F17D9"/>
    <w:rsid w:val="000F17FC"/>
    <w:rsid w:val="000F1812"/>
    <w:rsid w:val="000F1961"/>
    <w:rsid w:val="000F1A43"/>
    <w:rsid w:val="000F1E42"/>
    <w:rsid w:val="000F21FB"/>
    <w:rsid w:val="000F2335"/>
    <w:rsid w:val="000F29F4"/>
    <w:rsid w:val="000F2AAD"/>
    <w:rsid w:val="000F2D9C"/>
    <w:rsid w:val="000F2E15"/>
    <w:rsid w:val="000F358E"/>
    <w:rsid w:val="000F3956"/>
    <w:rsid w:val="000F3A29"/>
    <w:rsid w:val="000F3EA7"/>
    <w:rsid w:val="000F3FB5"/>
    <w:rsid w:val="000F3FCF"/>
    <w:rsid w:val="000F3FD9"/>
    <w:rsid w:val="000F414C"/>
    <w:rsid w:val="000F436A"/>
    <w:rsid w:val="000F4537"/>
    <w:rsid w:val="000F489C"/>
    <w:rsid w:val="000F48A3"/>
    <w:rsid w:val="000F4DF5"/>
    <w:rsid w:val="000F5303"/>
    <w:rsid w:val="000F5B3F"/>
    <w:rsid w:val="000F5C78"/>
    <w:rsid w:val="000F619F"/>
    <w:rsid w:val="000F6231"/>
    <w:rsid w:val="000F6347"/>
    <w:rsid w:val="000F65B9"/>
    <w:rsid w:val="000F6AC8"/>
    <w:rsid w:val="000F6CB9"/>
    <w:rsid w:val="000F6D34"/>
    <w:rsid w:val="000F6E4C"/>
    <w:rsid w:val="000F7260"/>
    <w:rsid w:val="000F76BC"/>
    <w:rsid w:val="000F7860"/>
    <w:rsid w:val="000F7BC3"/>
    <w:rsid w:val="000F7BCA"/>
    <w:rsid w:val="0010002F"/>
    <w:rsid w:val="001003E3"/>
    <w:rsid w:val="001005D2"/>
    <w:rsid w:val="00100762"/>
    <w:rsid w:val="00100899"/>
    <w:rsid w:val="00100B4C"/>
    <w:rsid w:val="001012B8"/>
    <w:rsid w:val="001013FB"/>
    <w:rsid w:val="001014F4"/>
    <w:rsid w:val="0010178F"/>
    <w:rsid w:val="00101C82"/>
    <w:rsid w:val="00101F4D"/>
    <w:rsid w:val="0010206C"/>
    <w:rsid w:val="001024FC"/>
    <w:rsid w:val="001027CB"/>
    <w:rsid w:val="00102CF5"/>
    <w:rsid w:val="00102D69"/>
    <w:rsid w:val="00102DA2"/>
    <w:rsid w:val="00102F2C"/>
    <w:rsid w:val="00103093"/>
    <w:rsid w:val="00103432"/>
    <w:rsid w:val="00103598"/>
    <w:rsid w:val="00103910"/>
    <w:rsid w:val="00103A36"/>
    <w:rsid w:val="00103AAF"/>
    <w:rsid w:val="00103E68"/>
    <w:rsid w:val="00104193"/>
    <w:rsid w:val="00104287"/>
    <w:rsid w:val="001046BD"/>
    <w:rsid w:val="001046E5"/>
    <w:rsid w:val="00104C3F"/>
    <w:rsid w:val="00104D8D"/>
    <w:rsid w:val="0010506C"/>
    <w:rsid w:val="001050FE"/>
    <w:rsid w:val="0010511C"/>
    <w:rsid w:val="001051E7"/>
    <w:rsid w:val="00105649"/>
    <w:rsid w:val="00105707"/>
    <w:rsid w:val="0010570E"/>
    <w:rsid w:val="0010599F"/>
    <w:rsid w:val="00106452"/>
    <w:rsid w:val="001065E1"/>
    <w:rsid w:val="00106761"/>
    <w:rsid w:val="00106848"/>
    <w:rsid w:val="00106AFB"/>
    <w:rsid w:val="00106D5D"/>
    <w:rsid w:val="00106ED6"/>
    <w:rsid w:val="00106F5C"/>
    <w:rsid w:val="00107081"/>
    <w:rsid w:val="001070C2"/>
    <w:rsid w:val="00107267"/>
    <w:rsid w:val="001072DD"/>
    <w:rsid w:val="001072EF"/>
    <w:rsid w:val="00107448"/>
    <w:rsid w:val="0010768F"/>
    <w:rsid w:val="00107ABE"/>
    <w:rsid w:val="00107D80"/>
    <w:rsid w:val="00107DF9"/>
    <w:rsid w:val="00107E0B"/>
    <w:rsid w:val="00107F56"/>
    <w:rsid w:val="0011005B"/>
    <w:rsid w:val="00110269"/>
    <w:rsid w:val="001104D3"/>
    <w:rsid w:val="001108B3"/>
    <w:rsid w:val="00110BB7"/>
    <w:rsid w:val="00110BE1"/>
    <w:rsid w:val="00110E6D"/>
    <w:rsid w:val="00110E93"/>
    <w:rsid w:val="00110FBF"/>
    <w:rsid w:val="001111C1"/>
    <w:rsid w:val="00111A16"/>
    <w:rsid w:val="00111B69"/>
    <w:rsid w:val="00111C78"/>
    <w:rsid w:val="00111DF9"/>
    <w:rsid w:val="00111F03"/>
    <w:rsid w:val="0011221D"/>
    <w:rsid w:val="00112276"/>
    <w:rsid w:val="00112473"/>
    <w:rsid w:val="001127FF"/>
    <w:rsid w:val="00112980"/>
    <w:rsid w:val="00112A62"/>
    <w:rsid w:val="00112EF1"/>
    <w:rsid w:val="001136C6"/>
    <w:rsid w:val="001138ED"/>
    <w:rsid w:val="00113A0D"/>
    <w:rsid w:val="00113E1D"/>
    <w:rsid w:val="00113E72"/>
    <w:rsid w:val="0011404B"/>
    <w:rsid w:val="001142AA"/>
    <w:rsid w:val="0011439A"/>
    <w:rsid w:val="001146E1"/>
    <w:rsid w:val="00114720"/>
    <w:rsid w:val="00114B6D"/>
    <w:rsid w:val="00114B80"/>
    <w:rsid w:val="00114EC1"/>
    <w:rsid w:val="00115336"/>
    <w:rsid w:val="00115BA1"/>
    <w:rsid w:val="0011623F"/>
    <w:rsid w:val="00116247"/>
    <w:rsid w:val="00116A32"/>
    <w:rsid w:val="00116CA0"/>
    <w:rsid w:val="00116E83"/>
    <w:rsid w:val="00116EB4"/>
    <w:rsid w:val="00116FCC"/>
    <w:rsid w:val="001172B5"/>
    <w:rsid w:val="001172DE"/>
    <w:rsid w:val="001174A0"/>
    <w:rsid w:val="00117593"/>
    <w:rsid w:val="00117619"/>
    <w:rsid w:val="0011767F"/>
    <w:rsid w:val="00117A02"/>
    <w:rsid w:val="00117CCA"/>
    <w:rsid w:val="00117F87"/>
    <w:rsid w:val="001203D9"/>
    <w:rsid w:val="001204A1"/>
    <w:rsid w:val="0012058A"/>
    <w:rsid w:val="001208A2"/>
    <w:rsid w:val="001209DA"/>
    <w:rsid w:val="00120C04"/>
    <w:rsid w:val="00120C42"/>
    <w:rsid w:val="00120C58"/>
    <w:rsid w:val="00120F0D"/>
    <w:rsid w:val="001211DA"/>
    <w:rsid w:val="00121C89"/>
    <w:rsid w:val="001220D2"/>
    <w:rsid w:val="0012235A"/>
    <w:rsid w:val="001226C4"/>
    <w:rsid w:val="001228C9"/>
    <w:rsid w:val="00122902"/>
    <w:rsid w:val="00123E64"/>
    <w:rsid w:val="001241E9"/>
    <w:rsid w:val="001245B2"/>
    <w:rsid w:val="0012467A"/>
    <w:rsid w:val="00124BEA"/>
    <w:rsid w:val="00124CC2"/>
    <w:rsid w:val="00125336"/>
    <w:rsid w:val="001254CD"/>
    <w:rsid w:val="00125813"/>
    <w:rsid w:val="001259C2"/>
    <w:rsid w:val="001262F6"/>
    <w:rsid w:val="0012631C"/>
    <w:rsid w:val="0012678D"/>
    <w:rsid w:val="001267A9"/>
    <w:rsid w:val="00126A0E"/>
    <w:rsid w:val="00126B76"/>
    <w:rsid w:val="00126FD3"/>
    <w:rsid w:val="0012716B"/>
    <w:rsid w:val="001272BB"/>
    <w:rsid w:val="00127341"/>
    <w:rsid w:val="00127398"/>
    <w:rsid w:val="00127AFC"/>
    <w:rsid w:val="00127D63"/>
    <w:rsid w:val="00127EF7"/>
    <w:rsid w:val="00130028"/>
    <w:rsid w:val="001300BE"/>
    <w:rsid w:val="001302BB"/>
    <w:rsid w:val="00131142"/>
    <w:rsid w:val="001312D2"/>
    <w:rsid w:val="00131C70"/>
    <w:rsid w:val="00131CB8"/>
    <w:rsid w:val="001322E1"/>
    <w:rsid w:val="00132462"/>
    <w:rsid w:val="001325A0"/>
    <w:rsid w:val="00132A38"/>
    <w:rsid w:val="00132C0B"/>
    <w:rsid w:val="00132E1B"/>
    <w:rsid w:val="00132F6D"/>
    <w:rsid w:val="00132FB4"/>
    <w:rsid w:val="0013304D"/>
    <w:rsid w:val="00133645"/>
    <w:rsid w:val="001336F7"/>
    <w:rsid w:val="00133855"/>
    <w:rsid w:val="0013386A"/>
    <w:rsid w:val="00133ADB"/>
    <w:rsid w:val="00133C27"/>
    <w:rsid w:val="00133CC6"/>
    <w:rsid w:val="00133FF4"/>
    <w:rsid w:val="0013431C"/>
    <w:rsid w:val="001344B4"/>
    <w:rsid w:val="00134553"/>
    <w:rsid w:val="00134A2E"/>
    <w:rsid w:val="00134A63"/>
    <w:rsid w:val="00134D62"/>
    <w:rsid w:val="00134E05"/>
    <w:rsid w:val="001352DA"/>
    <w:rsid w:val="00135417"/>
    <w:rsid w:val="00135495"/>
    <w:rsid w:val="001357A7"/>
    <w:rsid w:val="0013581F"/>
    <w:rsid w:val="001359A4"/>
    <w:rsid w:val="00135B9F"/>
    <w:rsid w:val="00135DC8"/>
    <w:rsid w:val="00135EB9"/>
    <w:rsid w:val="00135F3C"/>
    <w:rsid w:val="00135FF3"/>
    <w:rsid w:val="00136371"/>
    <w:rsid w:val="001368DE"/>
    <w:rsid w:val="001369F4"/>
    <w:rsid w:val="00136C61"/>
    <w:rsid w:val="00136CB2"/>
    <w:rsid w:val="00137153"/>
    <w:rsid w:val="0013739C"/>
    <w:rsid w:val="001373A2"/>
    <w:rsid w:val="001375DD"/>
    <w:rsid w:val="00137FC2"/>
    <w:rsid w:val="0014011C"/>
    <w:rsid w:val="00140389"/>
    <w:rsid w:val="00140659"/>
    <w:rsid w:val="001408ED"/>
    <w:rsid w:val="001408EF"/>
    <w:rsid w:val="0014091C"/>
    <w:rsid w:val="00140CD4"/>
    <w:rsid w:val="001410C8"/>
    <w:rsid w:val="001410EA"/>
    <w:rsid w:val="001411B1"/>
    <w:rsid w:val="0014127F"/>
    <w:rsid w:val="001418DF"/>
    <w:rsid w:val="00141A94"/>
    <w:rsid w:val="00141BF1"/>
    <w:rsid w:val="00141CDC"/>
    <w:rsid w:val="00141FCB"/>
    <w:rsid w:val="00142062"/>
    <w:rsid w:val="0014246D"/>
    <w:rsid w:val="00142549"/>
    <w:rsid w:val="001426A3"/>
    <w:rsid w:val="001426D7"/>
    <w:rsid w:val="00142CAE"/>
    <w:rsid w:val="00142CE4"/>
    <w:rsid w:val="00142DE8"/>
    <w:rsid w:val="00142E6B"/>
    <w:rsid w:val="00142FAE"/>
    <w:rsid w:val="00142FBD"/>
    <w:rsid w:val="001430DF"/>
    <w:rsid w:val="00143472"/>
    <w:rsid w:val="001435C3"/>
    <w:rsid w:val="00143647"/>
    <w:rsid w:val="0014370E"/>
    <w:rsid w:val="0014393F"/>
    <w:rsid w:val="00143AAC"/>
    <w:rsid w:val="00144017"/>
    <w:rsid w:val="001440C0"/>
    <w:rsid w:val="00144281"/>
    <w:rsid w:val="0014441C"/>
    <w:rsid w:val="001444C5"/>
    <w:rsid w:val="00144765"/>
    <w:rsid w:val="00144A01"/>
    <w:rsid w:val="00144A9B"/>
    <w:rsid w:val="00144C3A"/>
    <w:rsid w:val="00144CF4"/>
    <w:rsid w:val="00144D7D"/>
    <w:rsid w:val="00144F06"/>
    <w:rsid w:val="001450C8"/>
    <w:rsid w:val="001451F0"/>
    <w:rsid w:val="00145810"/>
    <w:rsid w:val="00145B00"/>
    <w:rsid w:val="00145CAD"/>
    <w:rsid w:val="0014606F"/>
    <w:rsid w:val="0014640C"/>
    <w:rsid w:val="0014670C"/>
    <w:rsid w:val="00146858"/>
    <w:rsid w:val="00146A71"/>
    <w:rsid w:val="00146DD0"/>
    <w:rsid w:val="00146FB6"/>
    <w:rsid w:val="00147179"/>
    <w:rsid w:val="001473A9"/>
    <w:rsid w:val="001475DA"/>
    <w:rsid w:val="001477CA"/>
    <w:rsid w:val="001477EE"/>
    <w:rsid w:val="00147878"/>
    <w:rsid w:val="00147C21"/>
    <w:rsid w:val="00147F0F"/>
    <w:rsid w:val="00147F53"/>
    <w:rsid w:val="00150417"/>
    <w:rsid w:val="00150DCF"/>
    <w:rsid w:val="00151601"/>
    <w:rsid w:val="0015173A"/>
    <w:rsid w:val="001517A0"/>
    <w:rsid w:val="00151AED"/>
    <w:rsid w:val="00151B07"/>
    <w:rsid w:val="00151B64"/>
    <w:rsid w:val="00151C2B"/>
    <w:rsid w:val="00151CDF"/>
    <w:rsid w:val="00151D4E"/>
    <w:rsid w:val="00151F3E"/>
    <w:rsid w:val="001520A3"/>
    <w:rsid w:val="0015214C"/>
    <w:rsid w:val="00152885"/>
    <w:rsid w:val="00153114"/>
    <w:rsid w:val="00153489"/>
    <w:rsid w:val="001534DE"/>
    <w:rsid w:val="001537FA"/>
    <w:rsid w:val="0015387B"/>
    <w:rsid w:val="00153CE3"/>
    <w:rsid w:val="00153E87"/>
    <w:rsid w:val="00154134"/>
    <w:rsid w:val="00154353"/>
    <w:rsid w:val="00154828"/>
    <w:rsid w:val="00154FE2"/>
    <w:rsid w:val="0015526E"/>
    <w:rsid w:val="00155342"/>
    <w:rsid w:val="0015536B"/>
    <w:rsid w:val="001553AC"/>
    <w:rsid w:val="001555E8"/>
    <w:rsid w:val="00155697"/>
    <w:rsid w:val="00155D20"/>
    <w:rsid w:val="00156077"/>
    <w:rsid w:val="00156667"/>
    <w:rsid w:val="00156741"/>
    <w:rsid w:val="00156F0F"/>
    <w:rsid w:val="001570AC"/>
    <w:rsid w:val="001570F3"/>
    <w:rsid w:val="001574EA"/>
    <w:rsid w:val="00157645"/>
    <w:rsid w:val="00157A96"/>
    <w:rsid w:val="00157AD2"/>
    <w:rsid w:val="00157F40"/>
    <w:rsid w:val="00157FD4"/>
    <w:rsid w:val="00160639"/>
    <w:rsid w:val="00160930"/>
    <w:rsid w:val="00160B48"/>
    <w:rsid w:val="00160C65"/>
    <w:rsid w:val="00160E56"/>
    <w:rsid w:val="00161170"/>
    <w:rsid w:val="001614DE"/>
    <w:rsid w:val="00161857"/>
    <w:rsid w:val="00161979"/>
    <w:rsid w:val="00161A2D"/>
    <w:rsid w:val="00161C7E"/>
    <w:rsid w:val="00161FC6"/>
    <w:rsid w:val="00162182"/>
    <w:rsid w:val="001625C4"/>
    <w:rsid w:val="0016297E"/>
    <w:rsid w:val="00162BA0"/>
    <w:rsid w:val="0016304A"/>
    <w:rsid w:val="001630AE"/>
    <w:rsid w:val="00163583"/>
    <w:rsid w:val="001638FF"/>
    <w:rsid w:val="00163A56"/>
    <w:rsid w:val="00163A71"/>
    <w:rsid w:val="00163AD3"/>
    <w:rsid w:val="00163CE8"/>
    <w:rsid w:val="00164658"/>
    <w:rsid w:val="00164C06"/>
    <w:rsid w:val="00164C4E"/>
    <w:rsid w:val="00164C87"/>
    <w:rsid w:val="001657F8"/>
    <w:rsid w:val="00165C18"/>
    <w:rsid w:val="00165C97"/>
    <w:rsid w:val="00165CB4"/>
    <w:rsid w:val="00165D19"/>
    <w:rsid w:val="00166058"/>
    <w:rsid w:val="00166097"/>
    <w:rsid w:val="00166B0B"/>
    <w:rsid w:val="0016719B"/>
    <w:rsid w:val="00167360"/>
    <w:rsid w:val="001674E7"/>
    <w:rsid w:val="0016769F"/>
    <w:rsid w:val="00167715"/>
    <w:rsid w:val="00167B12"/>
    <w:rsid w:val="00167BC8"/>
    <w:rsid w:val="00167E73"/>
    <w:rsid w:val="00167ED2"/>
    <w:rsid w:val="00167F26"/>
    <w:rsid w:val="001702A6"/>
    <w:rsid w:val="0017067D"/>
    <w:rsid w:val="00170AFB"/>
    <w:rsid w:val="00170D56"/>
    <w:rsid w:val="00171041"/>
    <w:rsid w:val="0017127D"/>
    <w:rsid w:val="00171A79"/>
    <w:rsid w:val="00171BCA"/>
    <w:rsid w:val="00172985"/>
    <w:rsid w:val="00172A3C"/>
    <w:rsid w:val="00172F66"/>
    <w:rsid w:val="001730F7"/>
    <w:rsid w:val="00173768"/>
    <w:rsid w:val="001737C7"/>
    <w:rsid w:val="001738A6"/>
    <w:rsid w:val="00173B7D"/>
    <w:rsid w:val="00173BB5"/>
    <w:rsid w:val="00173C0D"/>
    <w:rsid w:val="00173C2D"/>
    <w:rsid w:val="00173D43"/>
    <w:rsid w:val="0017400B"/>
    <w:rsid w:val="001745DF"/>
    <w:rsid w:val="001746B8"/>
    <w:rsid w:val="0017492D"/>
    <w:rsid w:val="00174DDC"/>
    <w:rsid w:val="001754D6"/>
    <w:rsid w:val="00175698"/>
    <w:rsid w:val="00175827"/>
    <w:rsid w:val="00175852"/>
    <w:rsid w:val="00175875"/>
    <w:rsid w:val="00175DED"/>
    <w:rsid w:val="001760E2"/>
    <w:rsid w:val="00176195"/>
    <w:rsid w:val="001764C6"/>
    <w:rsid w:val="001765D1"/>
    <w:rsid w:val="00176B4A"/>
    <w:rsid w:val="00176D52"/>
    <w:rsid w:val="001772DA"/>
    <w:rsid w:val="001776ED"/>
    <w:rsid w:val="001776EF"/>
    <w:rsid w:val="00177742"/>
    <w:rsid w:val="00177987"/>
    <w:rsid w:val="00177B80"/>
    <w:rsid w:val="00177C45"/>
    <w:rsid w:val="00177D24"/>
    <w:rsid w:val="00177D67"/>
    <w:rsid w:val="00177DD0"/>
    <w:rsid w:val="00177DDD"/>
    <w:rsid w:val="00181172"/>
    <w:rsid w:val="001817D9"/>
    <w:rsid w:val="00181932"/>
    <w:rsid w:val="0018193A"/>
    <w:rsid w:val="00181B42"/>
    <w:rsid w:val="00181D95"/>
    <w:rsid w:val="00182042"/>
    <w:rsid w:val="001820EA"/>
    <w:rsid w:val="0018216C"/>
    <w:rsid w:val="0018226D"/>
    <w:rsid w:val="0018343F"/>
    <w:rsid w:val="00183504"/>
    <w:rsid w:val="001835D0"/>
    <w:rsid w:val="00183F30"/>
    <w:rsid w:val="00184104"/>
    <w:rsid w:val="0018449F"/>
    <w:rsid w:val="001844A9"/>
    <w:rsid w:val="001845D6"/>
    <w:rsid w:val="00184E87"/>
    <w:rsid w:val="00184F7C"/>
    <w:rsid w:val="00185262"/>
    <w:rsid w:val="00185384"/>
    <w:rsid w:val="00185506"/>
    <w:rsid w:val="00185698"/>
    <w:rsid w:val="00186513"/>
    <w:rsid w:val="00186564"/>
    <w:rsid w:val="00186B15"/>
    <w:rsid w:val="00186D4F"/>
    <w:rsid w:val="00186FB5"/>
    <w:rsid w:val="001873D9"/>
    <w:rsid w:val="0018750E"/>
    <w:rsid w:val="00187891"/>
    <w:rsid w:val="00187B3D"/>
    <w:rsid w:val="00187C21"/>
    <w:rsid w:val="00187D13"/>
    <w:rsid w:val="00187F63"/>
    <w:rsid w:val="001900C0"/>
    <w:rsid w:val="001900E0"/>
    <w:rsid w:val="00190363"/>
    <w:rsid w:val="0019049B"/>
    <w:rsid w:val="00190709"/>
    <w:rsid w:val="00190973"/>
    <w:rsid w:val="00190F75"/>
    <w:rsid w:val="00190FD7"/>
    <w:rsid w:val="00191048"/>
    <w:rsid w:val="0019158F"/>
    <w:rsid w:val="001915E4"/>
    <w:rsid w:val="00191A87"/>
    <w:rsid w:val="00191C86"/>
    <w:rsid w:val="00191CD2"/>
    <w:rsid w:val="00191E94"/>
    <w:rsid w:val="00191F8A"/>
    <w:rsid w:val="00192023"/>
    <w:rsid w:val="00192195"/>
    <w:rsid w:val="0019276B"/>
    <w:rsid w:val="00192E45"/>
    <w:rsid w:val="00192F7A"/>
    <w:rsid w:val="00193378"/>
    <w:rsid w:val="00193555"/>
    <w:rsid w:val="00193CF7"/>
    <w:rsid w:val="00193DF4"/>
    <w:rsid w:val="00193F5A"/>
    <w:rsid w:val="0019445E"/>
    <w:rsid w:val="00194488"/>
    <w:rsid w:val="001948CB"/>
    <w:rsid w:val="00194BAC"/>
    <w:rsid w:val="00194CF6"/>
    <w:rsid w:val="00195511"/>
    <w:rsid w:val="00195B6C"/>
    <w:rsid w:val="00195B80"/>
    <w:rsid w:val="00195F32"/>
    <w:rsid w:val="00196282"/>
    <w:rsid w:val="00196297"/>
    <w:rsid w:val="001965B1"/>
    <w:rsid w:val="001966CC"/>
    <w:rsid w:val="0019687F"/>
    <w:rsid w:val="001968FD"/>
    <w:rsid w:val="00196C2E"/>
    <w:rsid w:val="001977FC"/>
    <w:rsid w:val="00197876"/>
    <w:rsid w:val="001979B6"/>
    <w:rsid w:val="00197D91"/>
    <w:rsid w:val="00197DBC"/>
    <w:rsid w:val="00197FD8"/>
    <w:rsid w:val="001A0059"/>
    <w:rsid w:val="001A08A4"/>
    <w:rsid w:val="001A091E"/>
    <w:rsid w:val="001A124C"/>
    <w:rsid w:val="001A1317"/>
    <w:rsid w:val="001A17E5"/>
    <w:rsid w:val="001A17ED"/>
    <w:rsid w:val="001A1B06"/>
    <w:rsid w:val="001A2106"/>
    <w:rsid w:val="001A2221"/>
    <w:rsid w:val="001A22C2"/>
    <w:rsid w:val="001A26D3"/>
    <w:rsid w:val="001A2F2B"/>
    <w:rsid w:val="001A3681"/>
    <w:rsid w:val="001A373B"/>
    <w:rsid w:val="001A394E"/>
    <w:rsid w:val="001A39C0"/>
    <w:rsid w:val="001A3AF7"/>
    <w:rsid w:val="001A3C5D"/>
    <w:rsid w:val="001A3D76"/>
    <w:rsid w:val="001A408F"/>
    <w:rsid w:val="001A4153"/>
    <w:rsid w:val="001A420E"/>
    <w:rsid w:val="001A437D"/>
    <w:rsid w:val="001A46DB"/>
    <w:rsid w:val="001A47A8"/>
    <w:rsid w:val="001A4941"/>
    <w:rsid w:val="001A49F2"/>
    <w:rsid w:val="001A4BF7"/>
    <w:rsid w:val="001A4C4B"/>
    <w:rsid w:val="001A4DF5"/>
    <w:rsid w:val="001A4F76"/>
    <w:rsid w:val="001A5327"/>
    <w:rsid w:val="001A54E8"/>
    <w:rsid w:val="001A5AA5"/>
    <w:rsid w:val="001A5B95"/>
    <w:rsid w:val="001A5C52"/>
    <w:rsid w:val="001A5D0A"/>
    <w:rsid w:val="001A5DEA"/>
    <w:rsid w:val="001A620E"/>
    <w:rsid w:val="001A62B6"/>
    <w:rsid w:val="001A62DD"/>
    <w:rsid w:val="001A6CDD"/>
    <w:rsid w:val="001A7011"/>
    <w:rsid w:val="001A70A5"/>
    <w:rsid w:val="001A7795"/>
    <w:rsid w:val="001A78B0"/>
    <w:rsid w:val="001A78EC"/>
    <w:rsid w:val="001A7AFE"/>
    <w:rsid w:val="001A7B97"/>
    <w:rsid w:val="001A7C3A"/>
    <w:rsid w:val="001A7D4E"/>
    <w:rsid w:val="001B0128"/>
    <w:rsid w:val="001B03CA"/>
    <w:rsid w:val="001B08CD"/>
    <w:rsid w:val="001B0A5D"/>
    <w:rsid w:val="001B0AF6"/>
    <w:rsid w:val="001B148F"/>
    <w:rsid w:val="001B1EA2"/>
    <w:rsid w:val="001B2785"/>
    <w:rsid w:val="001B2B9F"/>
    <w:rsid w:val="001B2CB1"/>
    <w:rsid w:val="001B2D4D"/>
    <w:rsid w:val="001B30CE"/>
    <w:rsid w:val="001B3100"/>
    <w:rsid w:val="001B330A"/>
    <w:rsid w:val="001B3390"/>
    <w:rsid w:val="001B34DF"/>
    <w:rsid w:val="001B356E"/>
    <w:rsid w:val="001B369D"/>
    <w:rsid w:val="001B3713"/>
    <w:rsid w:val="001B38FB"/>
    <w:rsid w:val="001B4427"/>
    <w:rsid w:val="001B44DA"/>
    <w:rsid w:val="001B4805"/>
    <w:rsid w:val="001B4A8C"/>
    <w:rsid w:val="001B4C03"/>
    <w:rsid w:val="001B5196"/>
    <w:rsid w:val="001B5B69"/>
    <w:rsid w:val="001B600E"/>
    <w:rsid w:val="001B601A"/>
    <w:rsid w:val="001B6308"/>
    <w:rsid w:val="001B6367"/>
    <w:rsid w:val="001B6485"/>
    <w:rsid w:val="001B67B4"/>
    <w:rsid w:val="001B6866"/>
    <w:rsid w:val="001B6AA3"/>
    <w:rsid w:val="001B6EFC"/>
    <w:rsid w:val="001B702D"/>
    <w:rsid w:val="001B7217"/>
    <w:rsid w:val="001B7371"/>
    <w:rsid w:val="001B75E7"/>
    <w:rsid w:val="001B7854"/>
    <w:rsid w:val="001B78DA"/>
    <w:rsid w:val="001B7B2D"/>
    <w:rsid w:val="001B7D83"/>
    <w:rsid w:val="001B7E04"/>
    <w:rsid w:val="001B7E2E"/>
    <w:rsid w:val="001B7F86"/>
    <w:rsid w:val="001C0484"/>
    <w:rsid w:val="001C06D0"/>
    <w:rsid w:val="001C0876"/>
    <w:rsid w:val="001C0D1E"/>
    <w:rsid w:val="001C0DB7"/>
    <w:rsid w:val="001C11F0"/>
    <w:rsid w:val="001C14D9"/>
    <w:rsid w:val="001C1B71"/>
    <w:rsid w:val="001C221D"/>
    <w:rsid w:val="001C2787"/>
    <w:rsid w:val="001C2E4E"/>
    <w:rsid w:val="001C2F2D"/>
    <w:rsid w:val="001C2FF5"/>
    <w:rsid w:val="001C30E2"/>
    <w:rsid w:val="001C33C4"/>
    <w:rsid w:val="001C3545"/>
    <w:rsid w:val="001C380E"/>
    <w:rsid w:val="001C3BAD"/>
    <w:rsid w:val="001C3CE1"/>
    <w:rsid w:val="001C3D40"/>
    <w:rsid w:val="001C3D87"/>
    <w:rsid w:val="001C3E73"/>
    <w:rsid w:val="001C410A"/>
    <w:rsid w:val="001C413E"/>
    <w:rsid w:val="001C418F"/>
    <w:rsid w:val="001C4363"/>
    <w:rsid w:val="001C45B3"/>
    <w:rsid w:val="001C47C6"/>
    <w:rsid w:val="001C4FF6"/>
    <w:rsid w:val="001C55B5"/>
    <w:rsid w:val="001C58A2"/>
    <w:rsid w:val="001C5D64"/>
    <w:rsid w:val="001C61C4"/>
    <w:rsid w:val="001C63A7"/>
    <w:rsid w:val="001C64AA"/>
    <w:rsid w:val="001C66DF"/>
    <w:rsid w:val="001C6879"/>
    <w:rsid w:val="001C69FC"/>
    <w:rsid w:val="001C6A68"/>
    <w:rsid w:val="001C6D52"/>
    <w:rsid w:val="001C6EE7"/>
    <w:rsid w:val="001C7541"/>
    <w:rsid w:val="001C7F09"/>
    <w:rsid w:val="001D0006"/>
    <w:rsid w:val="001D05B1"/>
    <w:rsid w:val="001D073B"/>
    <w:rsid w:val="001D0C3B"/>
    <w:rsid w:val="001D0D46"/>
    <w:rsid w:val="001D0DA2"/>
    <w:rsid w:val="001D0E17"/>
    <w:rsid w:val="001D1509"/>
    <w:rsid w:val="001D1A28"/>
    <w:rsid w:val="001D1B93"/>
    <w:rsid w:val="001D1C66"/>
    <w:rsid w:val="001D21CE"/>
    <w:rsid w:val="001D239F"/>
    <w:rsid w:val="001D276F"/>
    <w:rsid w:val="001D27D7"/>
    <w:rsid w:val="001D2892"/>
    <w:rsid w:val="001D295A"/>
    <w:rsid w:val="001D3367"/>
    <w:rsid w:val="001D339D"/>
    <w:rsid w:val="001D35BC"/>
    <w:rsid w:val="001D38CE"/>
    <w:rsid w:val="001D3A81"/>
    <w:rsid w:val="001D3E83"/>
    <w:rsid w:val="001D461B"/>
    <w:rsid w:val="001D4694"/>
    <w:rsid w:val="001D4F99"/>
    <w:rsid w:val="001D50A5"/>
    <w:rsid w:val="001D51C8"/>
    <w:rsid w:val="001D536D"/>
    <w:rsid w:val="001D550B"/>
    <w:rsid w:val="001D5533"/>
    <w:rsid w:val="001D55CE"/>
    <w:rsid w:val="001D5958"/>
    <w:rsid w:val="001D5A0B"/>
    <w:rsid w:val="001D5AC9"/>
    <w:rsid w:val="001D5EA0"/>
    <w:rsid w:val="001D6022"/>
    <w:rsid w:val="001D60FF"/>
    <w:rsid w:val="001D6320"/>
    <w:rsid w:val="001D650B"/>
    <w:rsid w:val="001D6699"/>
    <w:rsid w:val="001D68CC"/>
    <w:rsid w:val="001D694E"/>
    <w:rsid w:val="001D6988"/>
    <w:rsid w:val="001D69E9"/>
    <w:rsid w:val="001D6B45"/>
    <w:rsid w:val="001D6EE2"/>
    <w:rsid w:val="001D70C5"/>
    <w:rsid w:val="001D7B63"/>
    <w:rsid w:val="001D7B9D"/>
    <w:rsid w:val="001D7F5F"/>
    <w:rsid w:val="001E0253"/>
    <w:rsid w:val="001E08A5"/>
    <w:rsid w:val="001E118F"/>
    <w:rsid w:val="001E129B"/>
    <w:rsid w:val="001E12D4"/>
    <w:rsid w:val="001E13AE"/>
    <w:rsid w:val="001E13C0"/>
    <w:rsid w:val="001E1624"/>
    <w:rsid w:val="001E19C4"/>
    <w:rsid w:val="001E19E9"/>
    <w:rsid w:val="001E2164"/>
    <w:rsid w:val="001E221D"/>
    <w:rsid w:val="001E22B8"/>
    <w:rsid w:val="001E2352"/>
    <w:rsid w:val="001E237C"/>
    <w:rsid w:val="001E2799"/>
    <w:rsid w:val="001E2B69"/>
    <w:rsid w:val="001E2BF1"/>
    <w:rsid w:val="001E2D0C"/>
    <w:rsid w:val="001E3146"/>
    <w:rsid w:val="001E34EE"/>
    <w:rsid w:val="001E377B"/>
    <w:rsid w:val="001E3938"/>
    <w:rsid w:val="001E3AF9"/>
    <w:rsid w:val="001E4311"/>
    <w:rsid w:val="001E44DD"/>
    <w:rsid w:val="001E45AC"/>
    <w:rsid w:val="001E4A0E"/>
    <w:rsid w:val="001E4C18"/>
    <w:rsid w:val="001E55BA"/>
    <w:rsid w:val="001E5715"/>
    <w:rsid w:val="001E5889"/>
    <w:rsid w:val="001E58B0"/>
    <w:rsid w:val="001E592E"/>
    <w:rsid w:val="001E5933"/>
    <w:rsid w:val="001E5A1A"/>
    <w:rsid w:val="001E5C64"/>
    <w:rsid w:val="001E5EC6"/>
    <w:rsid w:val="001E630D"/>
    <w:rsid w:val="001E63BA"/>
    <w:rsid w:val="001E6410"/>
    <w:rsid w:val="001E683A"/>
    <w:rsid w:val="001E69E9"/>
    <w:rsid w:val="001E6A2B"/>
    <w:rsid w:val="001E6C2C"/>
    <w:rsid w:val="001E712C"/>
    <w:rsid w:val="001E73DC"/>
    <w:rsid w:val="001E780A"/>
    <w:rsid w:val="001E78AA"/>
    <w:rsid w:val="001F0272"/>
    <w:rsid w:val="001F04AF"/>
    <w:rsid w:val="001F0693"/>
    <w:rsid w:val="001F08AB"/>
    <w:rsid w:val="001F1203"/>
    <w:rsid w:val="001F16DC"/>
    <w:rsid w:val="001F1753"/>
    <w:rsid w:val="001F1AF3"/>
    <w:rsid w:val="001F1B05"/>
    <w:rsid w:val="001F245E"/>
    <w:rsid w:val="001F25C5"/>
    <w:rsid w:val="001F25DC"/>
    <w:rsid w:val="001F2627"/>
    <w:rsid w:val="001F2C89"/>
    <w:rsid w:val="001F2D44"/>
    <w:rsid w:val="001F2E83"/>
    <w:rsid w:val="001F30BD"/>
    <w:rsid w:val="001F3117"/>
    <w:rsid w:val="001F3167"/>
    <w:rsid w:val="001F34C5"/>
    <w:rsid w:val="001F351C"/>
    <w:rsid w:val="001F3611"/>
    <w:rsid w:val="001F372A"/>
    <w:rsid w:val="001F3B04"/>
    <w:rsid w:val="001F3E83"/>
    <w:rsid w:val="001F44CD"/>
    <w:rsid w:val="001F4644"/>
    <w:rsid w:val="001F4930"/>
    <w:rsid w:val="001F4E85"/>
    <w:rsid w:val="001F4FFE"/>
    <w:rsid w:val="001F503F"/>
    <w:rsid w:val="001F5558"/>
    <w:rsid w:val="001F5771"/>
    <w:rsid w:val="001F58FD"/>
    <w:rsid w:val="001F5AFA"/>
    <w:rsid w:val="001F5C68"/>
    <w:rsid w:val="001F61EA"/>
    <w:rsid w:val="001F6217"/>
    <w:rsid w:val="001F6436"/>
    <w:rsid w:val="001F6708"/>
    <w:rsid w:val="001F69F9"/>
    <w:rsid w:val="001F6D31"/>
    <w:rsid w:val="001F6ECB"/>
    <w:rsid w:val="001F7144"/>
    <w:rsid w:val="001F7171"/>
    <w:rsid w:val="001F72F2"/>
    <w:rsid w:val="001F75FB"/>
    <w:rsid w:val="001F7A46"/>
    <w:rsid w:val="001F7E6F"/>
    <w:rsid w:val="001F7F73"/>
    <w:rsid w:val="00200036"/>
    <w:rsid w:val="002000DD"/>
    <w:rsid w:val="00200728"/>
    <w:rsid w:val="00200824"/>
    <w:rsid w:val="002009E2"/>
    <w:rsid w:val="00200C4B"/>
    <w:rsid w:val="00200E9D"/>
    <w:rsid w:val="002012D8"/>
    <w:rsid w:val="00201589"/>
    <w:rsid w:val="0020170A"/>
    <w:rsid w:val="002017F0"/>
    <w:rsid w:val="002018BB"/>
    <w:rsid w:val="00201D3E"/>
    <w:rsid w:val="00201F1E"/>
    <w:rsid w:val="0020211D"/>
    <w:rsid w:val="0020219A"/>
    <w:rsid w:val="00202697"/>
    <w:rsid w:val="00202C78"/>
    <w:rsid w:val="00202E84"/>
    <w:rsid w:val="002038B5"/>
    <w:rsid w:val="00203AA6"/>
    <w:rsid w:val="0020443D"/>
    <w:rsid w:val="00204F46"/>
    <w:rsid w:val="0020541A"/>
    <w:rsid w:val="0020559D"/>
    <w:rsid w:val="002057D4"/>
    <w:rsid w:val="00205D73"/>
    <w:rsid w:val="00205FCE"/>
    <w:rsid w:val="00206024"/>
    <w:rsid w:val="00206362"/>
    <w:rsid w:val="00206588"/>
    <w:rsid w:val="00206992"/>
    <w:rsid w:val="00206B55"/>
    <w:rsid w:val="00206BEC"/>
    <w:rsid w:val="00206F68"/>
    <w:rsid w:val="00206F74"/>
    <w:rsid w:val="00206F7A"/>
    <w:rsid w:val="002076F8"/>
    <w:rsid w:val="00207862"/>
    <w:rsid w:val="00207B7C"/>
    <w:rsid w:val="00207F73"/>
    <w:rsid w:val="00210488"/>
    <w:rsid w:val="002105CA"/>
    <w:rsid w:val="00210725"/>
    <w:rsid w:val="00210E03"/>
    <w:rsid w:val="0021133A"/>
    <w:rsid w:val="00211598"/>
    <w:rsid w:val="0021167B"/>
    <w:rsid w:val="00211992"/>
    <w:rsid w:val="002119C9"/>
    <w:rsid w:val="0021238A"/>
    <w:rsid w:val="002126D3"/>
    <w:rsid w:val="002127DF"/>
    <w:rsid w:val="0021290C"/>
    <w:rsid w:val="00212A75"/>
    <w:rsid w:val="00212C40"/>
    <w:rsid w:val="0021354A"/>
    <w:rsid w:val="00213FEE"/>
    <w:rsid w:val="00214096"/>
    <w:rsid w:val="002141A5"/>
    <w:rsid w:val="00214424"/>
    <w:rsid w:val="00214760"/>
    <w:rsid w:val="0021493E"/>
    <w:rsid w:val="00215172"/>
    <w:rsid w:val="0021537E"/>
    <w:rsid w:val="00215414"/>
    <w:rsid w:val="0021628F"/>
    <w:rsid w:val="002162FF"/>
    <w:rsid w:val="002165E6"/>
    <w:rsid w:val="00216B29"/>
    <w:rsid w:val="00216DA0"/>
    <w:rsid w:val="002170CE"/>
    <w:rsid w:val="002176D7"/>
    <w:rsid w:val="002176F4"/>
    <w:rsid w:val="002177C8"/>
    <w:rsid w:val="002204F5"/>
    <w:rsid w:val="00220935"/>
    <w:rsid w:val="002209AD"/>
    <w:rsid w:val="00220ACE"/>
    <w:rsid w:val="00220B81"/>
    <w:rsid w:val="00220BD4"/>
    <w:rsid w:val="00221349"/>
    <w:rsid w:val="0022152E"/>
    <w:rsid w:val="002215F2"/>
    <w:rsid w:val="00221783"/>
    <w:rsid w:val="00221DA6"/>
    <w:rsid w:val="00221FFA"/>
    <w:rsid w:val="0022205F"/>
    <w:rsid w:val="002221E0"/>
    <w:rsid w:val="0022233F"/>
    <w:rsid w:val="00222AA9"/>
    <w:rsid w:val="00222E82"/>
    <w:rsid w:val="00223186"/>
    <w:rsid w:val="0022331D"/>
    <w:rsid w:val="00223576"/>
    <w:rsid w:val="002239A6"/>
    <w:rsid w:val="00224146"/>
    <w:rsid w:val="0022422F"/>
    <w:rsid w:val="0022435E"/>
    <w:rsid w:val="00224567"/>
    <w:rsid w:val="002249AB"/>
    <w:rsid w:val="002249D0"/>
    <w:rsid w:val="00224AEA"/>
    <w:rsid w:val="00224AF5"/>
    <w:rsid w:val="00224BA2"/>
    <w:rsid w:val="00224F8E"/>
    <w:rsid w:val="0022509F"/>
    <w:rsid w:val="0022519B"/>
    <w:rsid w:val="00225234"/>
    <w:rsid w:val="00225627"/>
    <w:rsid w:val="00225CBB"/>
    <w:rsid w:val="00225FB5"/>
    <w:rsid w:val="00226370"/>
    <w:rsid w:val="00226643"/>
    <w:rsid w:val="002266D7"/>
    <w:rsid w:val="002269F7"/>
    <w:rsid w:val="00226A3F"/>
    <w:rsid w:val="00226BF8"/>
    <w:rsid w:val="00226CB0"/>
    <w:rsid w:val="00227091"/>
    <w:rsid w:val="00227250"/>
    <w:rsid w:val="0022727E"/>
    <w:rsid w:val="0022766F"/>
    <w:rsid w:val="00227C35"/>
    <w:rsid w:val="00227E23"/>
    <w:rsid w:val="00227FB9"/>
    <w:rsid w:val="00230216"/>
    <w:rsid w:val="002305F7"/>
    <w:rsid w:val="00230B62"/>
    <w:rsid w:val="00230BA5"/>
    <w:rsid w:val="00231224"/>
    <w:rsid w:val="00231391"/>
    <w:rsid w:val="002315DF"/>
    <w:rsid w:val="002316C6"/>
    <w:rsid w:val="002316F8"/>
    <w:rsid w:val="002318E4"/>
    <w:rsid w:val="00232010"/>
    <w:rsid w:val="00232197"/>
    <w:rsid w:val="0023248B"/>
    <w:rsid w:val="00232589"/>
    <w:rsid w:val="00232639"/>
    <w:rsid w:val="00233976"/>
    <w:rsid w:val="00233BC1"/>
    <w:rsid w:val="00234117"/>
    <w:rsid w:val="002343CB"/>
    <w:rsid w:val="0023459B"/>
    <w:rsid w:val="00234B77"/>
    <w:rsid w:val="00234DBA"/>
    <w:rsid w:val="00234E29"/>
    <w:rsid w:val="00234E78"/>
    <w:rsid w:val="00234F18"/>
    <w:rsid w:val="00234F5E"/>
    <w:rsid w:val="00235021"/>
    <w:rsid w:val="00235256"/>
    <w:rsid w:val="002353A0"/>
    <w:rsid w:val="00235449"/>
    <w:rsid w:val="00235DAA"/>
    <w:rsid w:val="00235DED"/>
    <w:rsid w:val="00235F3C"/>
    <w:rsid w:val="002363A7"/>
    <w:rsid w:val="0023664B"/>
    <w:rsid w:val="0023682E"/>
    <w:rsid w:val="00236A65"/>
    <w:rsid w:val="00236EFD"/>
    <w:rsid w:val="00236F4F"/>
    <w:rsid w:val="00236F84"/>
    <w:rsid w:val="00237845"/>
    <w:rsid w:val="00237A5F"/>
    <w:rsid w:val="00237A9B"/>
    <w:rsid w:val="00240966"/>
    <w:rsid w:val="00240A3C"/>
    <w:rsid w:val="00240EBC"/>
    <w:rsid w:val="002413B9"/>
    <w:rsid w:val="0024148F"/>
    <w:rsid w:val="002415A2"/>
    <w:rsid w:val="002416C2"/>
    <w:rsid w:val="00241792"/>
    <w:rsid w:val="002418FE"/>
    <w:rsid w:val="0024194B"/>
    <w:rsid w:val="00241A10"/>
    <w:rsid w:val="00241BD8"/>
    <w:rsid w:val="00241DB4"/>
    <w:rsid w:val="00241EA2"/>
    <w:rsid w:val="00242009"/>
    <w:rsid w:val="002420B3"/>
    <w:rsid w:val="002420B8"/>
    <w:rsid w:val="002423C0"/>
    <w:rsid w:val="002426FE"/>
    <w:rsid w:val="00242821"/>
    <w:rsid w:val="002429EC"/>
    <w:rsid w:val="00242A3A"/>
    <w:rsid w:val="00242ABB"/>
    <w:rsid w:val="002430BB"/>
    <w:rsid w:val="002430FB"/>
    <w:rsid w:val="00243210"/>
    <w:rsid w:val="002433A9"/>
    <w:rsid w:val="002434C2"/>
    <w:rsid w:val="00243ACC"/>
    <w:rsid w:val="00243CF2"/>
    <w:rsid w:val="00243E1F"/>
    <w:rsid w:val="00243E97"/>
    <w:rsid w:val="00243EBB"/>
    <w:rsid w:val="00243F18"/>
    <w:rsid w:val="002447B7"/>
    <w:rsid w:val="002447C8"/>
    <w:rsid w:val="00245146"/>
    <w:rsid w:val="002453F1"/>
    <w:rsid w:val="0024544C"/>
    <w:rsid w:val="002454B3"/>
    <w:rsid w:val="00245668"/>
    <w:rsid w:val="002459A6"/>
    <w:rsid w:val="00245CA7"/>
    <w:rsid w:val="00246694"/>
    <w:rsid w:val="002466F3"/>
    <w:rsid w:val="0024679E"/>
    <w:rsid w:val="002469F9"/>
    <w:rsid w:val="00246A32"/>
    <w:rsid w:val="00246AA4"/>
    <w:rsid w:val="00246B9C"/>
    <w:rsid w:val="00247128"/>
    <w:rsid w:val="00247252"/>
    <w:rsid w:val="002475B5"/>
    <w:rsid w:val="00247736"/>
    <w:rsid w:val="00247978"/>
    <w:rsid w:val="00247A9F"/>
    <w:rsid w:val="00247BAA"/>
    <w:rsid w:val="00247DBF"/>
    <w:rsid w:val="00250173"/>
    <w:rsid w:val="0025035A"/>
    <w:rsid w:val="00250488"/>
    <w:rsid w:val="0025070A"/>
    <w:rsid w:val="0025098D"/>
    <w:rsid w:val="00250A1A"/>
    <w:rsid w:val="00250E34"/>
    <w:rsid w:val="00250FA6"/>
    <w:rsid w:val="0025106F"/>
    <w:rsid w:val="00251A1D"/>
    <w:rsid w:val="00251B5C"/>
    <w:rsid w:val="00251C40"/>
    <w:rsid w:val="0025202F"/>
    <w:rsid w:val="00252103"/>
    <w:rsid w:val="002521F6"/>
    <w:rsid w:val="0025228E"/>
    <w:rsid w:val="00252425"/>
    <w:rsid w:val="00252CD4"/>
    <w:rsid w:val="00252E59"/>
    <w:rsid w:val="00253268"/>
    <w:rsid w:val="00253597"/>
    <w:rsid w:val="002536B2"/>
    <w:rsid w:val="00253992"/>
    <w:rsid w:val="002539A6"/>
    <w:rsid w:val="002539B7"/>
    <w:rsid w:val="00253B92"/>
    <w:rsid w:val="00253CE6"/>
    <w:rsid w:val="00253D3E"/>
    <w:rsid w:val="00253D6A"/>
    <w:rsid w:val="00253ED6"/>
    <w:rsid w:val="0025441D"/>
    <w:rsid w:val="00254467"/>
    <w:rsid w:val="002548A2"/>
    <w:rsid w:val="00254E5A"/>
    <w:rsid w:val="00255133"/>
    <w:rsid w:val="0025520F"/>
    <w:rsid w:val="00255415"/>
    <w:rsid w:val="00255660"/>
    <w:rsid w:val="002557BF"/>
    <w:rsid w:val="002558A1"/>
    <w:rsid w:val="00255FA4"/>
    <w:rsid w:val="002562BB"/>
    <w:rsid w:val="00256631"/>
    <w:rsid w:val="00256B17"/>
    <w:rsid w:val="00256E3C"/>
    <w:rsid w:val="002570C6"/>
    <w:rsid w:val="00257BE2"/>
    <w:rsid w:val="00257E02"/>
    <w:rsid w:val="00257E16"/>
    <w:rsid w:val="00257E55"/>
    <w:rsid w:val="002601BE"/>
    <w:rsid w:val="00260223"/>
    <w:rsid w:val="00260346"/>
    <w:rsid w:val="0026095C"/>
    <w:rsid w:val="00260960"/>
    <w:rsid w:val="00260CF9"/>
    <w:rsid w:val="00261379"/>
    <w:rsid w:val="0026141A"/>
    <w:rsid w:val="002617A2"/>
    <w:rsid w:val="002617D9"/>
    <w:rsid w:val="00261900"/>
    <w:rsid w:val="002621AF"/>
    <w:rsid w:val="0026259D"/>
    <w:rsid w:val="00262A29"/>
    <w:rsid w:val="00262AFC"/>
    <w:rsid w:val="00262BFB"/>
    <w:rsid w:val="00262DA4"/>
    <w:rsid w:val="00262EAC"/>
    <w:rsid w:val="00263057"/>
    <w:rsid w:val="002630CF"/>
    <w:rsid w:val="00263122"/>
    <w:rsid w:val="002635BE"/>
    <w:rsid w:val="0026367B"/>
    <w:rsid w:val="002637C6"/>
    <w:rsid w:val="0026388D"/>
    <w:rsid w:val="00263B81"/>
    <w:rsid w:val="00263CCF"/>
    <w:rsid w:val="00264079"/>
    <w:rsid w:val="00264576"/>
    <w:rsid w:val="00264BE9"/>
    <w:rsid w:val="00264C52"/>
    <w:rsid w:val="00264D23"/>
    <w:rsid w:val="00264F43"/>
    <w:rsid w:val="0026519C"/>
    <w:rsid w:val="00265510"/>
    <w:rsid w:val="00265585"/>
    <w:rsid w:val="0026593D"/>
    <w:rsid w:val="00265A7C"/>
    <w:rsid w:val="00265F6A"/>
    <w:rsid w:val="002663DF"/>
    <w:rsid w:val="002664F3"/>
    <w:rsid w:val="00266E98"/>
    <w:rsid w:val="00266F73"/>
    <w:rsid w:val="00267069"/>
    <w:rsid w:val="00267210"/>
    <w:rsid w:val="002672CA"/>
    <w:rsid w:val="00267366"/>
    <w:rsid w:val="00267372"/>
    <w:rsid w:val="002673CB"/>
    <w:rsid w:val="002674B0"/>
    <w:rsid w:val="002674E9"/>
    <w:rsid w:val="00267CDB"/>
    <w:rsid w:val="00270324"/>
    <w:rsid w:val="00270481"/>
    <w:rsid w:val="002705DE"/>
    <w:rsid w:val="002709EC"/>
    <w:rsid w:val="00270ACB"/>
    <w:rsid w:val="00270B56"/>
    <w:rsid w:val="00270E53"/>
    <w:rsid w:val="002716BF"/>
    <w:rsid w:val="00271701"/>
    <w:rsid w:val="00271977"/>
    <w:rsid w:val="002719D1"/>
    <w:rsid w:val="00271C11"/>
    <w:rsid w:val="00271DA4"/>
    <w:rsid w:val="00271F83"/>
    <w:rsid w:val="002720C3"/>
    <w:rsid w:val="00272101"/>
    <w:rsid w:val="00272265"/>
    <w:rsid w:val="0027237B"/>
    <w:rsid w:val="0027275F"/>
    <w:rsid w:val="00272802"/>
    <w:rsid w:val="00272927"/>
    <w:rsid w:val="00272B0F"/>
    <w:rsid w:val="00272BD0"/>
    <w:rsid w:val="00272F24"/>
    <w:rsid w:val="002730CD"/>
    <w:rsid w:val="002735B0"/>
    <w:rsid w:val="0027373E"/>
    <w:rsid w:val="00273B23"/>
    <w:rsid w:val="00273F18"/>
    <w:rsid w:val="00274B68"/>
    <w:rsid w:val="00274C7A"/>
    <w:rsid w:val="00274E3E"/>
    <w:rsid w:val="00274ECD"/>
    <w:rsid w:val="00274FAB"/>
    <w:rsid w:val="0027595E"/>
    <w:rsid w:val="00275C61"/>
    <w:rsid w:val="00275E55"/>
    <w:rsid w:val="00275F26"/>
    <w:rsid w:val="00275F5B"/>
    <w:rsid w:val="00275FD8"/>
    <w:rsid w:val="002762BB"/>
    <w:rsid w:val="00276671"/>
    <w:rsid w:val="00276C40"/>
    <w:rsid w:val="00276E5B"/>
    <w:rsid w:val="00277160"/>
    <w:rsid w:val="002771FF"/>
    <w:rsid w:val="0027723E"/>
    <w:rsid w:val="00277457"/>
    <w:rsid w:val="0027749F"/>
    <w:rsid w:val="002774C8"/>
    <w:rsid w:val="00277A45"/>
    <w:rsid w:val="00277B11"/>
    <w:rsid w:val="00277C41"/>
    <w:rsid w:val="002807F4"/>
    <w:rsid w:val="002809E2"/>
    <w:rsid w:val="00280D43"/>
    <w:rsid w:val="00281730"/>
    <w:rsid w:val="0028189F"/>
    <w:rsid w:val="00281954"/>
    <w:rsid w:val="002819E3"/>
    <w:rsid w:val="002820EF"/>
    <w:rsid w:val="002821D3"/>
    <w:rsid w:val="002828EB"/>
    <w:rsid w:val="00282A53"/>
    <w:rsid w:val="00282F33"/>
    <w:rsid w:val="002830ED"/>
    <w:rsid w:val="002837D1"/>
    <w:rsid w:val="002839C8"/>
    <w:rsid w:val="00283EED"/>
    <w:rsid w:val="002840FF"/>
    <w:rsid w:val="002843F2"/>
    <w:rsid w:val="00284657"/>
    <w:rsid w:val="00284DAF"/>
    <w:rsid w:val="00284F8E"/>
    <w:rsid w:val="0028514F"/>
    <w:rsid w:val="002852C8"/>
    <w:rsid w:val="00285712"/>
    <w:rsid w:val="00285850"/>
    <w:rsid w:val="00285962"/>
    <w:rsid w:val="00285B05"/>
    <w:rsid w:val="00285E34"/>
    <w:rsid w:val="00286004"/>
    <w:rsid w:val="002863AC"/>
    <w:rsid w:val="00286406"/>
    <w:rsid w:val="0028662A"/>
    <w:rsid w:val="00287AFC"/>
    <w:rsid w:val="00287C4A"/>
    <w:rsid w:val="0029041E"/>
    <w:rsid w:val="0029053E"/>
    <w:rsid w:val="00290BE4"/>
    <w:rsid w:val="00290E13"/>
    <w:rsid w:val="00290EBB"/>
    <w:rsid w:val="00290FEE"/>
    <w:rsid w:val="0029110E"/>
    <w:rsid w:val="002912A0"/>
    <w:rsid w:val="002915B1"/>
    <w:rsid w:val="002916E0"/>
    <w:rsid w:val="00291764"/>
    <w:rsid w:val="00291D36"/>
    <w:rsid w:val="00291F01"/>
    <w:rsid w:val="00292064"/>
    <w:rsid w:val="00292101"/>
    <w:rsid w:val="00292330"/>
    <w:rsid w:val="002925B0"/>
    <w:rsid w:val="00292B03"/>
    <w:rsid w:val="00292C31"/>
    <w:rsid w:val="002934E8"/>
    <w:rsid w:val="0029390A"/>
    <w:rsid w:val="00293BB7"/>
    <w:rsid w:val="0029416B"/>
    <w:rsid w:val="00294288"/>
    <w:rsid w:val="002942DE"/>
    <w:rsid w:val="00294347"/>
    <w:rsid w:val="002943FC"/>
    <w:rsid w:val="00294565"/>
    <w:rsid w:val="00294725"/>
    <w:rsid w:val="002948B7"/>
    <w:rsid w:val="00294A29"/>
    <w:rsid w:val="00294A3D"/>
    <w:rsid w:val="00294BCE"/>
    <w:rsid w:val="00294F3C"/>
    <w:rsid w:val="002951E2"/>
    <w:rsid w:val="00295265"/>
    <w:rsid w:val="0029590B"/>
    <w:rsid w:val="002959F3"/>
    <w:rsid w:val="00295DD0"/>
    <w:rsid w:val="002962E2"/>
    <w:rsid w:val="00296B7A"/>
    <w:rsid w:val="00296D17"/>
    <w:rsid w:val="002971D3"/>
    <w:rsid w:val="00297337"/>
    <w:rsid w:val="0029739C"/>
    <w:rsid w:val="0029750D"/>
    <w:rsid w:val="00297750"/>
    <w:rsid w:val="00297F23"/>
    <w:rsid w:val="002A021A"/>
    <w:rsid w:val="002A09BD"/>
    <w:rsid w:val="002A0A46"/>
    <w:rsid w:val="002A0B24"/>
    <w:rsid w:val="002A1A44"/>
    <w:rsid w:val="002A1ABF"/>
    <w:rsid w:val="002A1FDA"/>
    <w:rsid w:val="002A2059"/>
    <w:rsid w:val="002A256C"/>
    <w:rsid w:val="002A26B1"/>
    <w:rsid w:val="002A2975"/>
    <w:rsid w:val="002A2998"/>
    <w:rsid w:val="002A2CD9"/>
    <w:rsid w:val="002A2D9D"/>
    <w:rsid w:val="002A2DC0"/>
    <w:rsid w:val="002A3351"/>
    <w:rsid w:val="002A3E4D"/>
    <w:rsid w:val="002A3FB9"/>
    <w:rsid w:val="002A41C1"/>
    <w:rsid w:val="002A450E"/>
    <w:rsid w:val="002A520B"/>
    <w:rsid w:val="002A523F"/>
    <w:rsid w:val="002A53BD"/>
    <w:rsid w:val="002A55B5"/>
    <w:rsid w:val="002A56FB"/>
    <w:rsid w:val="002A5792"/>
    <w:rsid w:val="002A5C77"/>
    <w:rsid w:val="002A5DCE"/>
    <w:rsid w:val="002A614D"/>
    <w:rsid w:val="002A62BD"/>
    <w:rsid w:val="002A6359"/>
    <w:rsid w:val="002A69C3"/>
    <w:rsid w:val="002A6B1E"/>
    <w:rsid w:val="002A72D8"/>
    <w:rsid w:val="002A76F7"/>
    <w:rsid w:val="002A7792"/>
    <w:rsid w:val="002A78D0"/>
    <w:rsid w:val="002A7C1C"/>
    <w:rsid w:val="002A7C8E"/>
    <w:rsid w:val="002B026F"/>
    <w:rsid w:val="002B053A"/>
    <w:rsid w:val="002B08B2"/>
    <w:rsid w:val="002B08D1"/>
    <w:rsid w:val="002B1601"/>
    <w:rsid w:val="002B1990"/>
    <w:rsid w:val="002B218F"/>
    <w:rsid w:val="002B226A"/>
    <w:rsid w:val="002B25E3"/>
    <w:rsid w:val="002B26E0"/>
    <w:rsid w:val="002B2C00"/>
    <w:rsid w:val="002B2C29"/>
    <w:rsid w:val="002B30BD"/>
    <w:rsid w:val="002B30F0"/>
    <w:rsid w:val="002B3AE1"/>
    <w:rsid w:val="002B3CD5"/>
    <w:rsid w:val="002B3FF8"/>
    <w:rsid w:val="002B4022"/>
    <w:rsid w:val="002B44CE"/>
    <w:rsid w:val="002B4785"/>
    <w:rsid w:val="002B48E3"/>
    <w:rsid w:val="002B4ABA"/>
    <w:rsid w:val="002B4DBE"/>
    <w:rsid w:val="002B4E8A"/>
    <w:rsid w:val="002B5176"/>
    <w:rsid w:val="002B5534"/>
    <w:rsid w:val="002B5636"/>
    <w:rsid w:val="002B5749"/>
    <w:rsid w:val="002B5752"/>
    <w:rsid w:val="002B58CE"/>
    <w:rsid w:val="002B5E16"/>
    <w:rsid w:val="002B63C9"/>
    <w:rsid w:val="002B644E"/>
    <w:rsid w:val="002B672E"/>
    <w:rsid w:val="002B6C1A"/>
    <w:rsid w:val="002B6D2F"/>
    <w:rsid w:val="002B6D32"/>
    <w:rsid w:val="002B6ED2"/>
    <w:rsid w:val="002B703C"/>
    <w:rsid w:val="002B7061"/>
    <w:rsid w:val="002B7920"/>
    <w:rsid w:val="002B7B3B"/>
    <w:rsid w:val="002B7C7E"/>
    <w:rsid w:val="002B7DA2"/>
    <w:rsid w:val="002B7E48"/>
    <w:rsid w:val="002B7FC1"/>
    <w:rsid w:val="002B7FC5"/>
    <w:rsid w:val="002C016D"/>
    <w:rsid w:val="002C01DC"/>
    <w:rsid w:val="002C0280"/>
    <w:rsid w:val="002C0501"/>
    <w:rsid w:val="002C0A98"/>
    <w:rsid w:val="002C0C88"/>
    <w:rsid w:val="002C113E"/>
    <w:rsid w:val="002C145B"/>
    <w:rsid w:val="002C167A"/>
    <w:rsid w:val="002C1787"/>
    <w:rsid w:val="002C18A1"/>
    <w:rsid w:val="002C216A"/>
    <w:rsid w:val="002C2414"/>
    <w:rsid w:val="002C2787"/>
    <w:rsid w:val="002C295E"/>
    <w:rsid w:val="002C30F2"/>
    <w:rsid w:val="002C311B"/>
    <w:rsid w:val="002C3550"/>
    <w:rsid w:val="002C3643"/>
    <w:rsid w:val="002C3E9D"/>
    <w:rsid w:val="002C44E1"/>
    <w:rsid w:val="002C4720"/>
    <w:rsid w:val="002C4940"/>
    <w:rsid w:val="002C4C0F"/>
    <w:rsid w:val="002C4C30"/>
    <w:rsid w:val="002C4DB8"/>
    <w:rsid w:val="002C4E24"/>
    <w:rsid w:val="002C50D9"/>
    <w:rsid w:val="002C5130"/>
    <w:rsid w:val="002C534D"/>
    <w:rsid w:val="002C53D7"/>
    <w:rsid w:val="002C54FB"/>
    <w:rsid w:val="002C57C0"/>
    <w:rsid w:val="002C58BD"/>
    <w:rsid w:val="002C5985"/>
    <w:rsid w:val="002C5A01"/>
    <w:rsid w:val="002C5C71"/>
    <w:rsid w:val="002C5D5C"/>
    <w:rsid w:val="002C63EE"/>
    <w:rsid w:val="002C65E9"/>
    <w:rsid w:val="002C68FD"/>
    <w:rsid w:val="002C6C42"/>
    <w:rsid w:val="002C6EF1"/>
    <w:rsid w:val="002C71F6"/>
    <w:rsid w:val="002C7368"/>
    <w:rsid w:val="002C73E8"/>
    <w:rsid w:val="002C7415"/>
    <w:rsid w:val="002C7441"/>
    <w:rsid w:val="002C753F"/>
    <w:rsid w:val="002C773E"/>
    <w:rsid w:val="002C774C"/>
    <w:rsid w:val="002D04A6"/>
    <w:rsid w:val="002D07A4"/>
    <w:rsid w:val="002D0A71"/>
    <w:rsid w:val="002D0B62"/>
    <w:rsid w:val="002D1119"/>
    <w:rsid w:val="002D1395"/>
    <w:rsid w:val="002D14B2"/>
    <w:rsid w:val="002D1A5E"/>
    <w:rsid w:val="002D1AE1"/>
    <w:rsid w:val="002D1B90"/>
    <w:rsid w:val="002D218C"/>
    <w:rsid w:val="002D2329"/>
    <w:rsid w:val="002D252A"/>
    <w:rsid w:val="002D2596"/>
    <w:rsid w:val="002D25A7"/>
    <w:rsid w:val="002D25EA"/>
    <w:rsid w:val="002D25F2"/>
    <w:rsid w:val="002D26F3"/>
    <w:rsid w:val="002D274B"/>
    <w:rsid w:val="002D28CB"/>
    <w:rsid w:val="002D2E35"/>
    <w:rsid w:val="002D2E78"/>
    <w:rsid w:val="002D2F6F"/>
    <w:rsid w:val="002D3654"/>
    <w:rsid w:val="002D3AC3"/>
    <w:rsid w:val="002D4195"/>
    <w:rsid w:val="002D41C1"/>
    <w:rsid w:val="002D43B7"/>
    <w:rsid w:val="002D44F3"/>
    <w:rsid w:val="002D45E2"/>
    <w:rsid w:val="002D461A"/>
    <w:rsid w:val="002D463B"/>
    <w:rsid w:val="002D4D12"/>
    <w:rsid w:val="002D51CF"/>
    <w:rsid w:val="002D54CE"/>
    <w:rsid w:val="002D5BD7"/>
    <w:rsid w:val="002D5E82"/>
    <w:rsid w:val="002D5FDD"/>
    <w:rsid w:val="002D60BE"/>
    <w:rsid w:val="002D620A"/>
    <w:rsid w:val="002D626C"/>
    <w:rsid w:val="002D627D"/>
    <w:rsid w:val="002D63D7"/>
    <w:rsid w:val="002D65D2"/>
    <w:rsid w:val="002D6E38"/>
    <w:rsid w:val="002D72EE"/>
    <w:rsid w:val="002D74E0"/>
    <w:rsid w:val="002D769C"/>
    <w:rsid w:val="002D7881"/>
    <w:rsid w:val="002D7AAF"/>
    <w:rsid w:val="002D7B93"/>
    <w:rsid w:val="002E02DA"/>
    <w:rsid w:val="002E0453"/>
    <w:rsid w:val="002E079A"/>
    <w:rsid w:val="002E090B"/>
    <w:rsid w:val="002E0AFE"/>
    <w:rsid w:val="002E0D4C"/>
    <w:rsid w:val="002E10B7"/>
    <w:rsid w:val="002E1336"/>
    <w:rsid w:val="002E145D"/>
    <w:rsid w:val="002E16EA"/>
    <w:rsid w:val="002E192E"/>
    <w:rsid w:val="002E1ABF"/>
    <w:rsid w:val="002E2012"/>
    <w:rsid w:val="002E2143"/>
    <w:rsid w:val="002E21C4"/>
    <w:rsid w:val="002E22B1"/>
    <w:rsid w:val="002E2476"/>
    <w:rsid w:val="002E27DB"/>
    <w:rsid w:val="002E2881"/>
    <w:rsid w:val="002E290F"/>
    <w:rsid w:val="002E2AC1"/>
    <w:rsid w:val="002E2ACF"/>
    <w:rsid w:val="002E3136"/>
    <w:rsid w:val="002E383B"/>
    <w:rsid w:val="002E3873"/>
    <w:rsid w:val="002E3B5F"/>
    <w:rsid w:val="002E3C02"/>
    <w:rsid w:val="002E3E9E"/>
    <w:rsid w:val="002E3EFD"/>
    <w:rsid w:val="002E4F2C"/>
    <w:rsid w:val="002E5273"/>
    <w:rsid w:val="002E5645"/>
    <w:rsid w:val="002E664B"/>
    <w:rsid w:val="002E66E9"/>
    <w:rsid w:val="002E6B6E"/>
    <w:rsid w:val="002E6C21"/>
    <w:rsid w:val="002E6F06"/>
    <w:rsid w:val="002E6F2D"/>
    <w:rsid w:val="002E72ED"/>
    <w:rsid w:val="002E757E"/>
    <w:rsid w:val="002E7F5D"/>
    <w:rsid w:val="002E7FBD"/>
    <w:rsid w:val="002F0031"/>
    <w:rsid w:val="002F027E"/>
    <w:rsid w:val="002F04B6"/>
    <w:rsid w:val="002F08A3"/>
    <w:rsid w:val="002F0B9D"/>
    <w:rsid w:val="002F0D9F"/>
    <w:rsid w:val="002F1188"/>
    <w:rsid w:val="002F1844"/>
    <w:rsid w:val="002F1EA2"/>
    <w:rsid w:val="002F1EC7"/>
    <w:rsid w:val="002F2512"/>
    <w:rsid w:val="002F29DD"/>
    <w:rsid w:val="002F2E07"/>
    <w:rsid w:val="002F2F05"/>
    <w:rsid w:val="002F2FF5"/>
    <w:rsid w:val="002F33AA"/>
    <w:rsid w:val="002F358F"/>
    <w:rsid w:val="002F3AD7"/>
    <w:rsid w:val="002F3ECA"/>
    <w:rsid w:val="002F42C7"/>
    <w:rsid w:val="002F4457"/>
    <w:rsid w:val="002F44C1"/>
    <w:rsid w:val="002F466E"/>
    <w:rsid w:val="002F4B85"/>
    <w:rsid w:val="002F5211"/>
    <w:rsid w:val="002F5253"/>
    <w:rsid w:val="002F58DC"/>
    <w:rsid w:val="002F58E4"/>
    <w:rsid w:val="002F5D4C"/>
    <w:rsid w:val="002F5F3B"/>
    <w:rsid w:val="002F6002"/>
    <w:rsid w:val="002F6B74"/>
    <w:rsid w:val="002F6D52"/>
    <w:rsid w:val="002F6D8F"/>
    <w:rsid w:val="002F6F61"/>
    <w:rsid w:val="002F743E"/>
    <w:rsid w:val="002F781B"/>
    <w:rsid w:val="002F7A9D"/>
    <w:rsid w:val="002F7C7F"/>
    <w:rsid w:val="002F7ED7"/>
    <w:rsid w:val="002F7FC3"/>
    <w:rsid w:val="00300852"/>
    <w:rsid w:val="00300B1A"/>
    <w:rsid w:val="00300B3E"/>
    <w:rsid w:val="00300F58"/>
    <w:rsid w:val="00301188"/>
    <w:rsid w:val="003015C3"/>
    <w:rsid w:val="00301785"/>
    <w:rsid w:val="003017C8"/>
    <w:rsid w:val="003019FF"/>
    <w:rsid w:val="00301D06"/>
    <w:rsid w:val="0030204A"/>
    <w:rsid w:val="003023FA"/>
    <w:rsid w:val="0030259B"/>
    <w:rsid w:val="0030266D"/>
    <w:rsid w:val="00302683"/>
    <w:rsid w:val="00302995"/>
    <w:rsid w:val="00302ED1"/>
    <w:rsid w:val="00302F36"/>
    <w:rsid w:val="00303001"/>
    <w:rsid w:val="003031F8"/>
    <w:rsid w:val="00303280"/>
    <w:rsid w:val="00303285"/>
    <w:rsid w:val="00303468"/>
    <w:rsid w:val="003034DA"/>
    <w:rsid w:val="00303525"/>
    <w:rsid w:val="003036A3"/>
    <w:rsid w:val="003038E5"/>
    <w:rsid w:val="003038E9"/>
    <w:rsid w:val="00303BD3"/>
    <w:rsid w:val="0030409E"/>
    <w:rsid w:val="0030411F"/>
    <w:rsid w:val="003041F7"/>
    <w:rsid w:val="003044B8"/>
    <w:rsid w:val="003046B0"/>
    <w:rsid w:val="0030480D"/>
    <w:rsid w:val="003049D7"/>
    <w:rsid w:val="00304A7C"/>
    <w:rsid w:val="00304BB3"/>
    <w:rsid w:val="00304D02"/>
    <w:rsid w:val="00304E5C"/>
    <w:rsid w:val="0030525B"/>
    <w:rsid w:val="0030525C"/>
    <w:rsid w:val="00305285"/>
    <w:rsid w:val="00305F7E"/>
    <w:rsid w:val="003062CE"/>
    <w:rsid w:val="00306333"/>
    <w:rsid w:val="00306C1A"/>
    <w:rsid w:val="00306C91"/>
    <w:rsid w:val="00306E02"/>
    <w:rsid w:val="00307230"/>
    <w:rsid w:val="00307360"/>
    <w:rsid w:val="0030758F"/>
    <w:rsid w:val="00307604"/>
    <w:rsid w:val="0030791B"/>
    <w:rsid w:val="00307BF3"/>
    <w:rsid w:val="00307D18"/>
    <w:rsid w:val="00307E38"/>
    <w:rsid w:val="00310463"/>
    <w:rsid w:val="00310539"/>
    <w:rsid w:val="00310957"/>
    <w:rsid w:val="00310BF7"/>
    <w:rsid w:val="00310F45"/>
    <w:rsid w:val="00311307"/>
    <w:rsid w:val="003113C8"/>
    <w:rsid w:val="00311577"/>
    <w:rsid w:val="0031164A"/>
    <w:rsid w:val="00312164"/>
    <w:rsid w:val="003121BE"/>
    <w:rsid w:val="00312208"/>
    <w:rsid w:val="003126B5"/>
    <w:rsid w:val="00312AEA"/>
    <w:rsid w:val="00312F7C"/>
    <w:rsid w:val="00312F85"/>
    <w:rsid w:val="003130C9"/>
    <w:rsid w:val="00313628"/>
    <w:rsid w:val="0031369B"/>
    <w:rsid w:val="0031378D"/>
    <w:rsid w:val="00313B52"/>
    <w:rsid w:val="00313D2B"/>
    <w:rsid w:val="00313F26"/>
    <w:rsid w:val="00314765"/>
    <w:rsid w:val="00314BD0"/>
    <w:rsid w:val="00315034"/>
    <w:rsid w:val="003151CB"/>
    <w:rsid w:val="00315247"/>
    <w:rsid w:val="00315673"/>
    <w:rsid w:val="0031579D"/>
    <w:rsid w:val="003157E5"/>
    <w:rsid w:val="0031582F"/>
    <w:rsid w:val="0031583E"/>
    <w:rsid w:val="00315A59"/>
    <w:rsid w:val="00315A85"/>
    <w:rsid w:val="00315C86"/>
    <w:rsid w:val="00315E0D"/>
    <w:rsid w:val="0031611E"/>
    <w:rsid w:val="00316244"/>
    <w:rsid w:val="00316306"/>
    <w:rsid w:val="003166D8"/>
    <w:rsid w:val="003169CC"/>
    <w:rsid w:val="00316B53"/>
    <w:rsid w:val="00316C5A"/>
    <w:rsid w:val="00317271"/>
    <w:rsid w:val="00317846"/>
    <w:rsid w:val="003178D6"/>
    <w:rsid w:val="00317B26"/>
    <w:rsid w:val="00317C41"/>
    <w:rsid w:val="00317E81"/>
    <w:rsid w:val="00320105"/>
    <w:rsid w:val="003205DC"/>
    <w:rsid w:val="003209B4"/>
    <w:rsid w:val="003209E2"/>
    <w:rsid w:val="00320A51"/>
    <w:rsid w:val="00320A65"/>
    <w:rsid w:val="00320C12"/>
    <w:rsid w:val="00320F8C"/>
    <w:rsid w:val="003211AF"/>
    <w:rsid w:val="0032124D"/>
    <w:rsid w:val="0032125B"/>
    <w:rsid w:val="003212AD"/>
    <w:rsid w:val="0032134D"/>
    <w:rsid w:val="00321B9E"/>
    <w:rsid w:val="00321FEA"/>
    <w:rsid w:val="003221F3"/>
    <w:rsid w:val="00322249"/>
    <w:rsid w:val="003222DD"/>
    <w:rsid w:val="00322573"/>
    <w:rsid w:val="00322A3F"/>
    <w:rsid w:val="00322EAF"/>
    <w:rsid w:val="00322EFC"/>
    <w:rsid w:val="00323121"/>
    <w:rsid w:val="00323129"/>
    <w:rsid w:val="00323168"/>
    <w:rsid w:val="00323512"/>
    <w:rsid w:val="00323823"/>
    <w:rsid w:val="00323BA7"/>
    <w:rsid w:val="0032405D"/>
    <w:rsid w:val="00324318"/>
    <w:rsid w:val="003245C6"/>
    <w:rsid w:val="00324678"/>
    <w:rsid w:val="0032467F"/>
    <w:rsid w:val="003249B1"/>
    <w:rsid w:val="00324A37"/>
    <w:rsid w:val="00324FC4"/>
    <w:rsid w:val="00325088"/>
    <w:rsid w:val="0032554D"/>
    <w:rsid w:val="00325703"/>
    <w:rsid w:val="00325A44"/>
    <w:rsid w:val="00325BFC"/>
    <w:rsid w:val="00325D3C"/>
    <w:rsid w:val="00325F12"/>
    <w:rsid w:val="0032612C"/>
    <w:rsid w:val="003262F8"/>
    <w:rsid w:val="003264A4"/>
    <w:rsid w:val="0032667A"/>
    <w:rsid w:val="003268B7"/>
    <w:rsid w:val="00326A95"/>
    <w:rsid w:val="00326C08"/>
    <w:rsid w:val="00326D20"/>
    <w:rsid w:val="00326E71"/>
    <w:rsid w:val="00327314"/>
    <w:rsid w:val="0032748E"/>
    <w:rsid w:val="00327496"/>
    <w:rsid w:val="00327528"/>
    <w:rsid w:val="0032768C"/>
    <w:rsid w:val="0032772D"/>
    <w:rsid w:val="003279DB"/>
    <w:rsid w:val="00327AFA"/>
    <w:rsid w:val="003300E7"/>
    <w:rsid w:val="003301CF"/>
    <w:rsid w:val="003306BF"/>
    <w:rsid w:val="0033083E"/>
    <w:rsid w:val="003308A2"/>
    <w:rsid w:val="00330932"/>
    <w:rsid w:val="003309A0"/>
    <w:rsid w:val="003309D1"/>
    <w:rsid w:val="00330BAB"/>
    <w:rsid w:val="00330CD5"/>
    <w:rsid w:val="00330E50"/>
    <w:rsid w:val="00330F45"/>
    <w:rsid w:val="00331072"/>
    <w:rsid w:val="003313B7"/>
    <w:rsid w:val="00331715"/>
    <w:rsid w:val="003318EE"/>
    <w:rsid w:val="00331B62"/>
    <w:rsid w:val="00331E67"/>
    <w:rsid w:val="00331EB7"/>
    <w:rsid w:val="00332014"/>
    <w:rsid w:val="00332024"/>
    <w:rsid w:val="003320C3"/>
    <w:rsid w:val="0033219F"/>
    <w:rsid w:val="003321C5"/>
    <w:rsid w:val="003321F7"/>
    <w:rsid w:val="0033232B"/>
    <w:rsid w:val="0033255A"/>
    <w:rsid w:val="0033270C"/>
    <w:rsid w:val="0033281A"/>
    <w:rsid w:val="00332865"/>
    <w:rsid w:val="003328AF"/>
    <w:rsid w:val="00332AB5"/>
    <w:rsid w:val="00332AE1"/>
    <w:rsid w:val="00332B45"/>
    <w:rsid w:val="00332CC9"/>
    <w:rsid w:val="00333234"/>
    <w:rsid w:val="0033338F"/>
    <w:rsid w:val="003334B8"/>
    <w:rsid w:val="00333615"/>
    <w:rsid w:val="003336BC"/>
    <w:rsid w:val="0033374F"/>
    <w:rsid w:val="00333859"/>
    <w:rsid w:val="00333866"/>
    <w:rsid w:val="00333BD0"/>
    <w:rsid w:val="00333CB8"/>
    <w:rsid w:val="00333DBB"/>
    <w:rsid w:val="00333E10"/>
    <w:rsid w:val="00334047"/>
    <w:rsid w:val="003343E4"/>
    <w:rsid w:val="0033454D"/>
    <w:rsid w:val="00334C9C"/>
    <w:rsid w:val="00335225"/>
    <w:rsid w:val="00335641"/>
    <w:rsid w:val="003358B9"/>
    <w:rsid w:val="00335940"/>
    <w:rsid w:val="00335C8D"/>
    <w:rsid w:val="00335E23"/>
    <w:rsid w:val="00335FB1"/>
    <w:rsid w:val="003360FE"/>
    <w:rsid w:val="0033675A"/>
    <w:rsid w:val="0033698E"/>
    <w:rsid w:val="00336CFD"/>
    <w:rsid w:val="00336E3B"/>
    <w:rsid w:val="00336E5F"/>
    <w:rsid w:val="00337D0F"/>
    <w:rsid w:val="003400A0"/>
    <w:rsid w:val="00340307"/>
    <w:rsid w:val="003404EB"/>
    <w:rsid w:val="00340733"/>
    <w:rsid w:val="00340A03"/>
    <w:rsid w:val="00340E37"/>
    <w:rsid w:val="00340FA0"/>
    <w:rsid w:val="0034132C"/>
    <w:rsid w:val="003413B6"/>
    <w:rsid w:val="00341561"/>
    <w:rsid w:val="0034174A"/>
    <w:rsid w:val="00341E0B"/>
    <w:rsid w:val="00341EF2"/>
    <w:rsid w:val="00342061"/>
    <w:rsid w:val="003423B0"/>
    <w:rsid w:val="003424B2"/>
    <w:rsid w:val="0034272C"/>
    <w:rsid w:val="00342825"/>
    <w:rsid w:val="003428A2"/>
    <w:rsid w:val="00342D57"/>
    <w:rsid w:val="00342DC5"/>
    <w:rsid w:val="00342F2C"/>
    <w:rsid w:val="00343202"/>
    <w:rsid w:val="00343352"/>
    <w:rsid w:val="0034360D"/>
    <w:rsid w:val="00343811"/>
    <w:rsid w:val="00343815"/>
    <w:rsid w:val="00343A11"/>
    <w:rsid w:val="0034416D"/>
    <w:rsid w:val="003441B3"/>
    <w:rsid w:val="00344582"/>
    <w:rsid w:val="00344605"/>
    <w:rsid w:val="0034494E"/>
    <w:rsid w:val="003449AB"/>
    <w:rsid w:val="00344C55"/>
    <w:rsid w:val="00344CAB"/>
    <w:rsid w:val="00344E1A"/>
    <w:rsid w:val="0034508B"/>
    <w:rsid w:val="00345195"/>
    <w:rsid w:val="0034555C"/>
    <w:rsid w:val="00345930"/>
    <w:rsid w:val="00345B16"/>
    <w:rsid w:val="00345FFD"/>
    <w:rsid w:val="003460E7"/>
    <w:rsid w:val="003461DF"/>
    <w:rsid w:val="0034660C"/>
    <w:rsid w:val="003466D1"/>
    <w:rsid w:val="003466F0"/>
    <w:rsid w:val="00346891"/>
    <w:rsid w:val="00346A79"/>
    <w:rsid w:val="00347010"/>
    <w:rsid w:val="003475D9"/>
    <w:rsid w:val="00347851"/>
    <w:rsid w:val="00347F19"/>
    <w:rsid w:val="00350633"/>
    <w:rsid w:val="00350A26"/>
    <w:rsid w:val="00350BF6"/>
    <w:rsid w:val="00350CF6"/>
    <w:rsid w:val="00350D79"/>
    <w:rsid w:val="00350E90"/>
    <w:rsid w:val="0035165C"/>
    <w:rsid w:val="00351A23"/>
    <w:rsid w:val="00351B2B"/>
    <w:rsid w:val="003525E8"/>
    <w:rsid w:val="003526A5"/>
    <w:rsid w:val="00352BFC"/>
    <w:rsid w:val="00352D16"/>
    <w:rsid w:val="003533CB"/>
    <w:rsid w:val="00353675"/>
    <w:rsid w:val="003536E0"/>
    <w:rsid w:val="003538E1"/>
    <w:rsid w:val="00353998"/>
    <w:rsid w:val="0035399E"/>
    <w:rsid w:val="003539FB"/>
    <w:rsid w:val="00353B50"/>
    <w:rsid w:val="00353D83"/>
    <w:rsid w:val="00353E3A"/>
    <w:rsid w:val="00354467"/>
    <w:rsid w:val="00354705"/>
    <w:rsid w:val="00354749"/>
    <w:rsid w:val="00354891"/>
    <w:rsid w:val="00354C14"/>
    <w:rsid w:val="00354C76"/>
    <w:rsid w:val="00354D11"/>
    <w:rsid w:val="00354E43"/>
    <w:rsid w:val="003551C6"/>
    <w:rsid w:val="00355A66"/>
    <w:rsid w:val="00355D97"/>
    <w:rsid w:val="00355FD8"/>
    <w:rsid w:val="0035629A"/>
    <w:rsid w:val="00356350"/>
    <w:rsid w:val="003564D7"/>
    <w:rsid w:val="0035670A"/>
    <w:rsid w:val="00356AD0"/>
    <w:rsid w:val="00356B1F"/>
    <w:rsid w:val="00356B5E"/>
    <w:rsid w:val="00356BD4"/>
    <w:rsid w:val="00356C23"/>
    <w:rsid w:val="00356F5D"/>
    <w:rsid w:val="003573DC"/>
    <w:rsid w:val="00357562"/>
    <w:rsid w:val="0035789E"/>
    <w:rsid w:val="00357DDF"/>
    <w:rsid w:val="003600C3"/>
    <w:rsid w:val="00360174"/>
    <w:rsid w:val="003601D3"/>
    <w:rsid w:val="003601EC"/>
    <w:rsid w:val="00360478"/>
    <w:rsid w:val="00360618"/>
    <w:rsid w:val="00360640"/>
    <w:rsid w:val="00360962"/>
    <w:rsid w:val="00360E0A"/>
    <w:rsid w:val="00360E54"/>
    <w:rsid w:val="00360E64"/>
    <w:rsid w:val="00361079"/>
    <w:rsid w:val="00361274"/>
    <w:rsid w:val="00361424"/>
    <w:rsid w:val="0036153A"/>
    <w:rsid w:val="003616A6"/>
    <w:rsid w:val="00361903"/>
    <w:rsid w:val="00361D9F"/>
    <w:rsid w:val="00361DD0"/>
    <w:rsid w:val="0036213B"/>
    <w:rsid w:val="003621BC"/>
    <w:rsid w:val="003621DB"/>
    <w:rsid w:val="003628AE"/>
    <w:rsid w:val="00362A7B"/>
    <w:rsid w:val="00362B0B"/>
    <w:rsid w:val="00362DA0"/>
    <w:rsid w:val="00363160"/>
    <w:rsid w:val="00363598"/>
    <w:rsid w:val="00363773"/>
    <w:rsid w:val="0036378E"/>
    <w:rsid w:val="00363BED"/>
    <w:rsid w:val="00363F8B"/>
    <w:rsid w:val="0036439B"/>
    <w:rsid w:val="00364424"/>
    <w:rsid w:val="00364443"/>
    <w:rsid w:val="00364AA9"/>
    <w:rsid w:val="00364D17"/>
    <w:rsid w:val="00364D45"/>
    <w:rsid w:val="00364DDE"/>
    <w:rsid w:val="0036514D"/>
    <w:rsid w:val="003652AC"/>
    <w:rsid w:val="00365386"/>
    <w:rsid w:val="0036567E"/>
    <w:rsid w:val="0036572B"/>
    <w:rsid w:val="00365769"/>
    <w:rsid w:val="003659A6"/>
    <w:rsid w:val="00365BF5"/>
    <w:rsid w:val="00365E27"/>
    <w:rsid w:val="00365EBB"/>
    <w:rsid w:val="00365FC2"/>
    <w:rsid w:val="00366212"/>
    <w:rsid w:val="003663DC"/>
    <w:rsid w:val="003663E6"/>
    <w:rsid w:val="00366574"/>
    <w:rsid w:val="00366EBE"/>
    <w:rsid w:val="0036726D"/>
    <w:rsid w:val="003675DC"/>
    <w:rsid w:val="003676BA"/>
    <w:rsid w:val="00367966"/>
    <w:rsid w:val="003701EC"/>
    <w:rsid w:val="00370523"/>
    <w:rsid w:val="00370A5C"/>
    <w:rsid w:val="00370B56"/>
    <w:rsid w:val="00370F09"/>
    <w:rsid w:val="00370F1F"/>
    <w:rsid w:val="0037122D"/>
    <w:rsid w:val="00371581"/>
    <w:rsid w:val="00371688"/>
    <w:rsid w:val="00371753"/>
    <w:rsid w:val="003719C4"/>
    <w:rsid w:val="00371DBB"/>
    <w:rsid w:val="00371EAA"/>
    <w:rsid w:val="003721DD"/>
    <w:rsid w:val="0037232C"/>
    <w:rsid w:val="00372501"/>
    <w:rsid w:val="0037257E"/>
    <w:rsid w:val="003726C6"/>
    <w:rsid w:val="0037301F"/>
    <w:rsid w:val="003730A9"/>
    <w:rsid w:val="0037345F"/>
    <w:rsid w:val="00373683"/>
    <w:rsid w:val="003740D2"/>
    <w:rsid w:val="00374263"/>
    <w:rsid w:val="00374289"/>
    <w:rsid w:val="00374371"/>
    <w:rsid w:val="00374374"/>
    <w:rsid w:val="00374796"/>
    <w:rsid w:val="003748A8"/>
    <w:rsid w:val="0037493F"/>
    <w:rsid w:val="00374A50"/>
    <w:rsid w:val="00374FE2"/>
    <w:rsid w:val="0037515D"/>
    <w:rsid w:val="00375219"/>
    <w:rsid w:val="00375398"/>
    <w:rsid w:val="003753B5"/>
    <w:rsid w:val="00375493"/>
    <w:rsid w:val="00375552"/>
    <w:rsid w:val="003759AF"/>
    <w:rsid w:val="00375B06"/>
    <w:rsid w:val="00375CAD"/>
    <w:rsid w:val="00375CD3"/>
    <w:rsid w:val="00376596"/>
    <w:rsid w:val="003765EF"/>
    <w:rsid w:val="0037661E"/>
    <w:rsid w:val="0037682F"/>
    <w:rsid w:val="00376A72"/>
    <w:rsid w:val="00376ADF"/>
    <w:rsid w:val="00376F07"/>
    <w:rsid w:val="0037706C"/>
    <w:rsid w:val="0037723C"/>
    <w:rsid w:val="00377715"/>
    <w:rsid w:val="00377A8B"/>
    <w:rsid w:val="00377EF9"/>
    <w:rsid w:val="00380055"/>
    <w:rsid w:val="00380074"/>
    <w:rsid w:val="003800BB"/>
    <w:rsid w:val="00380593"/>
    <w:rsid w:val="00380677"/>
    <w:rsid w:val="00380724"/>
    <w:rsid w:val="003808D2"/>
    <w:rsid w:val="00380A1C"/>
    <w:rsid w:val="00380D39"/>
    <w:rsid w:val="00380ECA"/>
    <w:rsid w:val="00381586"/>
    <w:rsid w:val="00381D20"/>
    <w:rsid w:val="00381E69"/>
    <w:rsid w:val="00381FEF"/>
    <w:rsid w:val="00382215"/>
    <w:rsid w:val="00382479"/>
    <w:rsid w:val="00382612"/>
    <w:rsid w:val="00382F04"/>
    <w:rsid w:val="00383056"/>
    <w:rsid w:val="003831D6"/>
    <w:rsid w:val="00383327"/>
    <w:rsid w:val="00383446"/>
    <w:rsid w:val="003837E2"/>
    <w:rsid w:val="00383DFF"/>
    <w:rsid w:val="00384079"/>
    <w:rsid w:val="0038410C"/>
    <w:rsid w:val="0038432F"/>
    <w:rsid w:val="00384450"/>
    <w:rsid w:val="0038447C"/>
    <w:rsid w:val="00384528"/>
    <w:rsid w:val="00384675"/>
    <w:rsid w:val="00384834"/>
    <w:rsid w:val="00384AB4"/>
    <w:rsid w:val="003850B4"/>
    <w:rsid w:val="00385427"/>
    <w:rsid w:val="003855E8"/>
    <w:rsid w:val="0038567C"/>
    <w:rsid w:val="0038577B"/>
    <w:rsid w:val="003857A7"/>
    <w:rsid w:val="0038588C"/>
    <w:rsid w:val="00385E02"/>
    <w:rsid w:val="003860F2"/>
    <w:rsid w:val="0038616A"/>
    <w:rsid w:val="003862B6"/>
    <w:rsid w:val="0038630B"/>
    <w:rsid w:val="00386908"/>
    <w:rsid w:val="003873BB"/>
    <w:rsid w:val="003873C1"/>
    <w:rsid w:val="00387847"/>
    <w:rsid w:val="0038787F"/>
    <w:rsid w:val="003903DC"/>
    <w:rsid w:val="00390621"/>
    <w:rsid w:val="003907B7"/>
    <w:rsid w:val="00390EEA"/>
    <w:rsid w:val="00390F5C"/>
    <w:rsid w:val="00390FD3"/>
    <w:rsid w:val="00391B71"/>
    <w:rsid w:val="00391DE6"/>
    <w:rsid w:val="00391E37"/>
    <w:rsid w:val="003926C9"/>
    <w:rsid w:val="003927CC"/>
    <w:rsid w:val="00392ABD"/>
    <w:rsid w:val="00392BDC"/>
    <w:rsid w:val="00392E74"/>
    <w:rsid w:val="00392FA5"/>
    <w:rsid w:val="00393179"/>
    <w:rsid w:val="003933A4"/>
    <w:rsid w:val="003938B4"/>
    <w:rsid w:val="00393BAA"/>
    <w:rsid w:val="003942A9"/>
    <w:rsid w:val="00394B6F"/>
    <w:rsid w:val="00394D4A"/>
    <w:rsid w:val="00394E4D"/>
    <w:rsid w:val="00394E9C"/>
    <w:rsid w:val="00394F6E"/>
    <w:rsid w:val="003952BA"/>
    <w:rsid w:val="00395441"/>
    <w:rsid w:val="003954F5"/>
    <w:rsid w:val="00395F0C"/>
    <w:rsid w:val="00395F31"/>
    <w:rsid w:val="0039624E"/>
    <w:rsid w:val="003962D4"/>
    <w:rsid w:val="00396516"/>
    <w:rsid w:val="003966D4"/>
    <w:rsid w:val="003967A1"/>
    <w:rsid w:val="003967FB"/>
    <w:rsid w:val="003968FC"/>
    <w:rsid w:val="0039694D"/>
    <w:rsid w:val="00396A2D"/>
    <w:rsid w:val="00396AE8"/>
    <w:rsid w:val="00396B6B"/>
    <w:rsid w:val="00396C1E"/>
    <w:rsid w:val="00396EF8"/>
    <w:rsid w:val="003971AF"/>
    <w:rsid w:val="0039753E"/>
    <w:rsid w:val="003977AC"/>
    <w:rsid w:val="00397B82"/>
    <w:rsid w:val="00397BBF"/>
    <w:rsid w:val="00397C15"/>
    <w:rsid w:val="003A00D5"/>
    <w:rsid w:val="003A0286"/>
    <w:rsid w:val="003A060E"/>
    <w:rsid w:val="003A07AE"/>
    <w:rsid w:val="003A0D29"/>
    <w:rsid w:val="003A0D81"/>
    <w:rsid w:val="003A0F45"/>
    <w:rsid w:val="003A104A"/>
    <w:rsid w:val="003A1645"/>
    <w:rsid w:val="003A186C"/>
    <w:rsid w:val="003A186D"/>
    <w:rsid w:val="003A1879"/>
    <w:rsid w:val="003A2308"/>
    <w:rsid w:val="003A2608"/>
    <w:rsid w:val="003A283E"/>
    <w:rsid w:val="003A2AB1"/>
    <w:rsid w:val="003A32CC"/>
    <w:rsid w:val="003A3610"/>
    <w:rsid w:val="003A36BD"/>
    <w:rsid w:val="003A378A"/>
    <w:rsid w:val="003A3820"/>
    <w:rsid w:val="003A3B0B"/>
    <w:rsid w:val="003A3E78"/>
    <w:rsid w:val="003A3E8D"/>
    <w:rsid w:val="003A404F"/>
    <w:rsid w:val="003A4218"/>
    <w:rsid w:val="003A472D"/>
    <w:rsid w:val="003A4DCD"/>
    <w:rsid w:val="003A4E76"/>
    <w:rsid w:val="003A4E79"/>
    <w:rsid w:val="003A50FA"/>
    <w:rsid w:val="003A51F0"/>
    <w:rsid w:val="003A5718"/>
    <w:rsid w:val="003A578E"/>
    <w:rsid w:val="003A5A25"/>
    <w:rsid w:val="003A5EC7"/>
    <w:rsid w:val="003A61A1"/>
    <w:rsid w:val="003A659F"/>
    <w:rsid w:val="003A65F4"/>
    <w:rsid w:val="003A6802"/>
    <w:rsid w:val="003A6B0C"/>
    <w:rsid w:val="003A71D9"/>
    <w:rsid w:val="003A724C"/>
    <w:rsid w:val="003A7272"/>
    <w:rsid w:val="003A732E"/>
    <w:rsid w:val="003A73E4"/>
    <w:rsid w:val="003A7D8E"/>
    <w:rsid w:val="003A7FDA"/>
    <w:rsid w:val="003B004A"/>
    <w:rsid w:val="003B049A"/>
    <w:rsid w:val="003B0645"/>
    <w:rsid w:val="003B0A0D"/>
    <w:rsid w:val="003B0CDB"/>
    <w:rsid w:val="003B0E08"/>
    <w:rsid w:val="003B11A2"/>
    <w:rsid w:val="003B1751"/>
    <w:rsid w:val="003B18C8"/>
    <w:rsid w:val="003B1917"/>
    <w:rsid w:val="003B194A"/>
    <w:rsid w:val="003B1ABC"/>
    <w:rsid w:val="003B1AE9"/>
    <w:rsid w:val="003B1B1D"/>
    <w:rsid w:val="003B1FA3"/>
    <w:rsid w:val="003B20A1"/>
    <w:rsid w:val="003B229C"/>
    <w:rsid w:val="003B22F2"/>
    <w:rsid w:val="003B239E"/>
    <w:rsid w:val="003B2890"/>
    <w:rsid w:val="003B2B16"/>
    <w:rsid w:val="003B3AED"/>
    <w:rsid w:val="003B3F40"/>
    <w:rsid w:val="003B4173"/>
    <w:rsid w:val="003B42F0"/>
    <w:rsid w:val="003B4488"/>
    <w:rsid w:val="003B451F"/>
    <w:rsid w:val="003B475C"/>
    <w:rsid w:val="003B48C6"/>
    <w:rsid w:val="003B48C7"/>
    <w:rsid w:val="003B49A1"/>
    <w:rsid w:val="003B4F1D"/>
    <w:rsid w:val="003B5079"/>
    <w:rsid w:val="003B51C2"/>
    <w:rsid w:val="003B521A"/>
    <w:rsid w:val="003B52E6"/>
    <w:rsid w:val="003B56D0"/>
    <w:rsid w:val="003B57AF"/>
    <w:rsid w:val="003B596F"/>
    <w:rsid w:val="003B5A3C"/>
    <w:rsid w:val="003B5AC0"/>
    <w:rsid w:val="003B5DF4"/>
    <w:rsid w:val="003B61FE"/>
    <w:rsid w:val="003B64FF"/>
    <w:rsid w:val="003B670F"/>
    <w:rsid w:val="003B6A6E"/>
    <w:rsid w:val="003B75FC"/>
    <w:rsid w:val="003B7978"/>
    <w:rsid w:val="003B7C16"/>
    <w:rsid w:val="003B7D3F"/>
    <w:rsid w:val="003C0212"/>
    <w:rsid w:val="003C036B"/>
    <w:rsid w:val="003C03CD"/>
    <w:rsid w:val="003C0762"/>
    <w:rsid w:val="003C0908"/>
    <w:rsid w:val="003C0C14"/>
    <w:rsid w:val="003C0C7B"/>
    <w:rsid w:val="003C0D12"/>
    <w:rsid w:val="003C1248"/>
    <w:rsid w:val="003C14C5"/>
    <w:rsid w:val="003C1791"/>
    <w:rsid w:val="003C1996"/>
    <w:rsid w:val="003C1DDD"/>
    <w:rsid w:val="003C229F"/>
    <w:rsid w:val="003C2667"/>
    <w:rsid w:val="003C28A6"/>
    <w:rsid w:val="003C2BA6"/>
    <w:rsid w:val="003C2F43"/>
    <w:rsid w:val="003C2FBA"/>
    <w:rsid w:val="003C3075"/>
    <w:rsid w:val="003C385F"/>
    <w:rsid w:val="003C38F9"/>
    <w:rsid w:val="003C3943"/>
    <w:rsid w:val="003C3EA9"/>
    <w:rsid w:val="003C414E"/>
    <w:rsid w:val="003C450F"/>
    <w:rsid w:val="003C4646"/>
    <w:rsid w:val="003C4A84"/>
    <w:rsid w:val="003C4C58"/>
    <w:rsid w:val="003C4FF7"/>
    <w:rsid w:val="003C5487"/>
    <w:rsid w:val="003C54A9"/>
    <w:rsid w:val="003C5671"/>
    <w:rsid w:val="003C5999"/>
    <w:rsid w:val="003C5D2D"/>
    <w:rsid w:val="003C6094"/>
    <w:rsid w:val="003C60C0"/>
    <w:rsid w:val="003C675E"/>
    <w:rsid w:val="003C6829"/>
    <w:rsid w:val="003C6BB6"/>
    <w:rsid w:val="003C711D"/>
    <w:rsid w:val="003C76E5"/>
    <w:rsid w:val="003C7ABA"/>
    <w:rsid w:val="003D00FE"/>
    <w:rsid w:val="003D0384"/>
    <w:rsid w:val="003D04C4"/>
    <w:rsid w:val="003D070B"/>
    <w:rsid w:val="003D09B6"/>
    <w:rsid w:val="003D0A79"/>
    <w:rsid w:val="003D0A92"/>
    <w:rsid w:val="003D0E9F"/>
    <w:rsid w:val="003D10E7"/>
    <w:rsid w:val="003D151E"/>
    <w:rsid w:val="003D1DBD"/>
    <w:rsid w:val="003D27E2"/>
    <w:rsid w:val="003D2F7A"/>
    <w:rsid w:val="003D3251"/>
    <w:rsid w:val="003D42F7"/>
    <w:rsid w:val="003D4423"/>
    <w:rsid w:val="003D4553"/>
    <w:rsid w:val="003D4891"/>
    <w:rsid w:val="003D4DA8"/>
    <w:rsid w:val="003D4F2C"/>
    <w:rsid w:val="003D508D"/>
    <w:rsid w:val="003D51E5"/>
    <w:rsid w:val="003D5592"/>
    <w:rsid w:val="003D55B1"/>
    <w:rsid w:val="003D56A8"/>
    <w:rsid w:val="003D56FE"/>
    <w:rsid w:val="003D5F5A"/>
    <w:rsid w:val="003D60F1"/>
    <w:rsid w:val="003D6195"/>
    <w:rsid w:val="003D64F8"/>
    <w:rsid w:val="003D6B4D"/>
    <w:rsid w:val="003D6CA2"/>
    <w:rsid w:val="003D6D23"/>
    <w:rsid w:val="003D7161"/>
    <w:rsid w:val="003D72D6"/>
    <w:rsid w:val="003D74B1"/>
    <w:rsid w:val="003D75F8"/>
    <w:rsid w:val="003D7645"/>
    <w:rsid w:val="003D7659"/>
    <w:rsid w:val="003D797D"/>
    <w:rsid w:val="003D7DD8"/>
    <w:rsid w:val="003D7E52"/>
    <w:rsid w:val="003E025E"/>
    <w:rsid w:val="003E02A4"/>
    <w:rsid w:val="003E04FA"/>
    <w:rsid w:val="003E06D5"/>
    <w:rsid w:val="003E06E5"/>
    <w:rsid w:val="003E0828"/>
    <w:rsid w:val="003E085B"/>
    <w:rsid w:val="003E089C"/>
    <w:rsid w:val="003E0A60"/>
    <w:rsid w:val="003E0D44"/>
    <w:rsid w:val="003E1795"/>
    <w:rsid w:val="003E1AE5"/>
    <w:rsid w:val="003E1D81"/>
    <w:rsid w:val="003E1E9F"/>
    <w:rsid w:val="003E1F3B"/>
    <w:rsid w:val="003E226F"/>
    <w:rsid w:val="003E2350"/>
    <w:rsid w:val="003E2359"/>
    <w:rsid w:val="003E2457"/>
    <w:rsid w:val="003E2724"/>
    <w:rsid w:val="003E2839"/>
    <w:rsid w:val="003E2AB6"/>
    <w:rsid w:val="003E30DE"/>
    <w:rsid w:val="003E34E9"/>
    <w:rsid w:val="003E397C"/>
    <w:rsid w:val="003E3FAC"/>
    <w:rsid w:val="003E423D"/>
    <w:rsid w:val="003E42D5"/>
    <w:rsid w:val="003E479F"/>
    <w:rsid w:val="003E496F"/>
    <w:rsid w:val="003E4B53"/>
    <w:rsid w:val="003E4B91"/>
    <w:rsid w:val="003E4FA0"/>
    <w:rsid w:val="003E531F"/>
    <w:rsid w:val="003E57B9"/>
    <w:rsid w:val="003E5A42"/>
    <w:rsid w:val="003E5D25"/>
    <w:rsid w:val="003E6175"/>
    <w:rsid w:val="003E6178"/>
    <w:rsid w:val="003E7359"/>
    <w:rsid w:val="003E78FE"/>
    <w:rsid w:val="003E7A20"/>
    <w:rsid w:val="003E7E79"/>
    <w:rsid w:val="003E7F34"/>
    <w:rsid w:val="003F03DF"/>
    <w:rsid w:val="003F05F6"/>
    <w:rsid w:val="003F078E"/>
    <w:rsid w:val="003F07C1"/>
    <w:rsid w:val="003F0A3A"/>
    <w:rsid w:val="003F13BA"/>
    <w:rsid w:val="003F14F0"/>
    <w:rsid w:val="003F1521"/>
    <w:rsid w:val="003F1695"/>
    <w:rsid w:val="003F17D9"/>
    <w:rsid w:val="003F1805"/>
    <w:rsid w:val="003F1A26"/>
    <w:rsid w:val="003F1A4E"/>
    <w:rsid w:val="003F1D3D"/>
    <w:rsid w:val="003F1E16"/>
    <w:rsid w:val="003F2043"/>
    <w:rsid w:val="003F23C4"/>
    <w:rsid w:val="003F23CB"/>
    <w:rsid w:val="003F2483"/>
    <w:rsid w:val="003F284C"/>
    <w:rsid w:val="003F2A0D"/>
    <w:rsid w:val="003F2E03"/>
    <w:rsid w:val="003F2E51"/>
    <w:rsid w:val="003F2E78"/>
    <w:rsid w:val="003F3378"/>
    <w:rsid w:val="003F3782"/>
    <w:rsid w:val="003F3C7E"/>
    <w:rsid w:val="003F3D44"/>
    <w:rsid w:val="003F4238"/>
    <w:rsid w:val="003F436D"/>
    <w:rsid w:val="003F47B6"/>
    <w:rsid w:val="003F4C3C"/>
    <w:rsid w:val="003F4D4D"/>
    <w:rsid w:val="003F4EF0"/>
    <w:rsid w:val="003F4FD3"/>
    <w:rsid w:val="003F5133"/>
    <w:rsid w:val="003F52C8"/>
    <w:rsid w:val="003F54A1"/>
    <w:rsid w:val="003F5F15"/>
    <w:rsid w:val="003F65EA"/>
    <w:rsid w:val="003F6B12"/>
    <w:rsid w:val="003F6DA8"/>
    <w:rsid w:val="003F702A"/>
    <w:rsid w:val="003F7332"/>
    <w:rsid w:val="003F74E3"/>
    <w:rsid w:val="003F7503"/>
    <w:rsid w:val="003F7999"/>
    <w:rsid w:val="003F7C23"/>
    <w:rsid w:val="003F7E9C"/>
    <w:rsid w:val="004002B4"/>
    <w:rsid w:val="0040044D"/>
    <w:rsid w:val="0040052F"/>
    <w:rsid w:val="004009D5"/>
    <w:rsid w:val="00400A0E"/>
    <w:rsid w:val="00400CE6"/>
    <w:rsid w:val="00400E18"/>
    <w:rsid w:val="00400FD2"/>
    <w:rsid w:val="00401309"/>
    <w:rsid w:val="00401440"/>
    <w:rsid w:val="00401587"/>
    <w:rsid w:val="0040166D"/>
    <w:rsid w:val="00401A5F"/>
    <w:rsid w:val="00401E7B"/>
    <w:rsid w:val="00402000"/>
    <w:rsid w:val="00402051"/>
    <w:rsid w:val="00402555"/>
    <w:rsid w:val="00402615"/>
    <w:rsid w:val="004029E0"/>
    <w:rsid w:val="00402B35"/>
    <w:rsid w:val="00402F7C"/>
    <w:rsid w:val="00402F84"/>
    <w:rsid w:val="00403095"/>
    <w:rsid w:val="004030B5"/>
    <w:rsid w:val="00403345"/>
    <w:rsid w:val="00404034"/>
    <w:rsid w:val="00404168"/>
    <w:rsid w:val="004045E9"/>
    <w:rsid w:val="0040460D"/>
    <w:rsid w:val="00404E22"/>
    <w:rsid w:val="00405389"/>
    <w:rsid w:val="0040539C"/>
    <w:rsid w:val="00405AA4"/>
    <w:rsid w:val="00405BA1"/>
    <w:rsid w:val="00405C07"/>
    <w:rsid w:val="0040606E"/>
    <w:rsid w:val="0040639B"/>
    <w:rsid w:val="0040653C"/>
    <w:rsid w:val="004068C8"/>
    <w:rsid w:val="00406993"/>
    <w:rsid w:val="004069DE"/>
    <w:rsid w:val="00406E6B"/>
    <w:rsid w:val="00406F25"/>
    <w:rsid w:val="00406F27"/>
    <w:rsid w:val="0040700D"/>
    <w:rsid w:val="00407172"/>
    <w:rsid w:val="004072F4"/>
    <w:rsid w:val="0040739B"/>
    <w:rsid w:val="0040757C"/>
    <w:rsid w:val="00407C0B"/>
    <w:rsid w:val="00407D7C"/>
    <w:rsid w:val="00407E79"/>
    <w:rsid w:val="00410013"/>
    <w:rsid w:val="00410056"/>
    <w:rsid w:val="00410258"/>
    <w:rsid w:val="00410287"/>
    <w:rsid w:val="004102E6"/>
    <w:rsid w:val="004104EE"/>
    <w:rsid w:val="00410525"/>
    <w:rsid w:val="0041098F"/>
    <w:rsid w:val="00410F0E"/>
    <w:rsid w:val="00411202"/>
    <w:rsid w:val="0041123E"/>
    <w:rsid w:val="00411324"/>
    <w:rsid w:val="00411E34"/>
    <w:rsid w:val="00411F90"/>
    <w:rsid w:val="004125A6"/>
    <w:rsid w:val="00412AFF"/>
    <w:rsid w:val="00412D42"/>
    <w:rsid w:val="00412F1C"/>
    <w:rsid w:val="004130B9"/>
    <w:rsid w:val="004132A2"/>
    <w:rsid w:val="0041355A"/>
    <w:rsid w:val="00413589"/>
    <w:rsid w:val="0041373B"/>
    <w:rsid w:val="004138F0"/>
    <w:rsid w:val="00413D24"/>
    <w:rsid w:val="004140D6"/>
    <w:rsid w:val="004141FC"/>
    <w:rsid w:val="0041448F"/>
    <w:rsid w:val="004145CB"/>
    <w:rsid w:val="0041479D"/>
    <w:rsid w:val="004152E4"/>
    <w:rsid w:val="00415393"/>
    <w:rsid w:val="0041578D"/>
    <w:rsid w:val="00415B68"/>
    <w:rsid w:val="00415DCA"/>
    <w:rsid w:val="00415E24"/>
    <w:rsid w:val="00415F8F"/>
    <w:rsid w:val="0041604A"/>
    <w:rsid w:val="004160E0"/>
    <w:rsid w:val="004163BF"/>
    <w:rsid w:val="00416568"/>
    <w:rsid w:val="004166AC"/>
    <w:rsid w:val="004167C3"/>
    <w:rsid w:val="004167F8"/>
    <w:rsid w:val="00416919"/>
    <w:rsid w:val="00416CEC"/>
    <w:rsid w:val="00416EFA"/>
    <w:rsid w:val="00416F01"/>
    <w:rsid w:val="0041735F"/>
    <w:rsid w:val="0041751F"/>
    <w:rsid w:val="004175BA"/>
    <w:rsid w:val="00417DB6"/>
    <w:rsid w:val="004200AD"/>
    <w:rsid w:val="00420355"/>
    <w:rsid w:val="0042037A"/>
    <w:rsid w:val="004204CA"/>
    <w:rsid w:val="004204EB"/>
    <w:rsid w:val="004205F5"/>
    <w:rsid w:val="00420728"/>
    <w:rsid w:val="0042092E"/>
    <w:rsid w:val="00420BF4"/>
    <w:rsid w:val="00420CCE"/>
    <w:rsid w:val="00420E36"/>
    <w:rsid w:val="0042115F"/>
    <w:rsid w:val="004211E1"/>
    <w:rsid w:val="004212E3"/>
    <w:rsid w:val="00421729"/>
    <w:rsid w:val="004218C0"/>
    <w:rsid w:val="00421990"/>
    <w:rsid w:val="00421D97"/>
    <w:rsid w:val="00422064"/>
    <w:rsid w:val="00422066"/>
    <w:rsid w:val="0042218D"/>
    <w:rsid w:val="0042253B"/>
    <w:rsid w:val="0042266D"/>
    <w:rsid w:val="00422AC5"/>
    <w:rsid w:val="00423087"/>
    <w:rsid w:val="00423292"/>
    <w:rsid w:val="0042343A"/>
    <w:rsid w:val="00423607"/>
    <w:rsid w:val="0042393E"/>
    <w:rsid w:val="00423D80"/>
    <w:rsid w:val="004240B1"/>
    <w:rsid w:val="004240DC"/>
    <w:rsid w:val="004245D2"/>
    <w:rsid w:val="00424614"/>
    <w:rsid w:val="004247C2"/>
    <w:rsid w:val="00424DE2"/>
    <w:rsid w:val="00424F93"/>
    <w:rsid w:val="0042508B"/>
    <w:rsid w:val="00425788"/>
    <w:rsid w:val="00425B0C"/>
    <w:rsid w:val="00425E50"/>
    <w:rsid w:val="00426478"/>
    <w:rsid w:val="004265A1"/>
    <w:rsid w:val="00426D24"/>
    <w:rsid w:val="00426D39"/>
    <w:rsid w:val="00426EF1"/>
    <w:rsid w:val="00427207"/>
    <w:rsid w:val="004275CC"/>
    <w:rsid w:val="00427E90"/>
    <w:rsid w:val="00427FA4"/>
    <w:rsid w:val="00427FD8"/>
    <w:rsid w:val="0043000F"/>
    <w:rsid w:val="0043016A"/>
    <w:rsid w:val="004302DB"/>
    <w:rsid w:val="00430E77"/>
    <w:rsid w:val="00430EF1"/>
    <w:rsid w:val="00430F4C"/>
    <w:rsid w:val="00431426"/>
    <w:rsid w:val="0043183C"/>
    <w:rsid w:val="00431934"/>
    <w:rsid w:val="00431963"/>
    <w:rsid w:val="00431BF8"/>
    <w:rsid w:val="00432A62"/>
    <w:rsid w:val="00432B49"/>
    <w:rsid w:val="00432F3C"/>
    <w:rsid w:val="00433279"/>
    <w:rsid w:val="00433419"/>
    <w:rsid w:val="00433581"/>
    <w:rsid w:val="00433A1B"/>
    <w:rsid w:val="00433C60"/>
    <w:rsid w:val="00433CDB"/>
    <w:rsid w:val="00433E5E"/>
    <w:rsid w:val="00434143"/>
    <w:rsid w:val="004343A4"/>
    <w:rsid w:val="00434492"/>
    <w:rsid w:val="00434B3F"/>
    <w:rsid w:val="00434C93"/>
    <w:rsid w:val="00434DF8"/>
    <w:rsid w:val="00434E1E"/>
    <w:rsid w:val="00434EC6"/>
    <w:rsid w:val="004350C6"/>
    <w:rsid w:val="004350FD"/>
    <w:rsid w:val="004352B8"/>
    <w:rsid w:val="004352C9"/>
    <w:rsid w:val="00435339"/>
    <w:rsid w:val="004354A7"/>
    <w:rsid w:val="0043599F"/>
    <w:rsid w:val="00435B77"/>
    <w:rsid w:val="00435C27"/>
    <w:rsid w:val="00435CA2"/>
    <w:rsid w:val="00435E25"/>
    <w:rsid w:val="00436C36"/>
    <w:rsid w:val="00436D16"/>
    <w:rsid w:val="00436DFB"/>
    <w:rsid w:val="00436EEE"/>
    <w:rsid w:val="0043717B"/>
    <w:rsid w:val="00437430"/>
    <w:rsid w:val="004376A7"/>
    <w:rsid w:val="00437CC0"/>
    <w:rsid w:val="00437D3C"/>
    <w:rsid w:val="004400F5"/>
    <w:rsid w:val="00440351"/>
    <w:rsid w:val="004403A2"/>
    <w:rsid w:val="00440902"/>
    <w:rsid w:val="00440AD5"/>
    <w:rsid w:val="00440B44"/>
    <w:rsid w:val="00440ECA"/>
    <w:rsid w:val="00441681"/>
    <w:rsid w:val="004419CD"/>
    <w:rsid w:val="00441D60"/>
    <w:rsid w:val="00442129"/>
    <w:rsid w:val="00443206"/>
    <w:rsid w:val="00443342"/>
    <w:rsid w:val="00443548"/>
    <w:rsid w:val="00443599"/>
    <w:rsid w:val="004439DE"/>
    <w:rsid w:val="00443CFC"/>
    <w:rsid w:val="00443DB3"/>
    <w:rsid w:val="00443F16"/>
    <w:rsid w:val="00444578"/>
    <w:rsid w:val="004445EA"/>
    <w:rsid w:val="0044502B"/>
    <w:rsid w:val="0044510D"/>
    <w:rsid w:val="004451AB"/>
    <w:rsid w:val="00445238"/>
    <w:rsid w:val="00445494"/>
    <w:rsid w:val="004455B8"/>
    <w:rsid w:val="00445EA6"/>
    <w:rsid w:val="00446029"/>
    <w:rsid w:val="004461FF"/>
    <w:rsid w:val="004466A7"/>
    <w:rsid w:val="00446955"/>
    <w:rsid w:val="004469CA"/>
    <w:rsid w:val="00446A05"/>
    <w:rsid w:val="00446B6C"/>
    <w:rsid w:val="00446CD9"/>
    <w:rsid w:val="00446D0D"/>
    <w:rsid w:val="00446DC2"/>
    <w:rsid w:val="00446E4C"/>
    <w:rsid w:val="004472F2"/>
    <w:rsid w:val="00447428"/>
    <w:rsid w:val="004477C8"/>
    <w:rsid w:val="00447EA0"/>
    <w:rsid w:val="00447F6D"/>
    <w:rsid w:val="0045009A"/>
    <w:rsid w:val="00450152"/>
    <w:rsid w:val="00450F65"/>
    <w:rsid w:val="00451498"/>
    <w:rsid w:val="0045154A"/>
    <w:rsid w:val="00451A28"/>
    <w:rsid w:val="00452493"/>
    <w:rsid w:val="004526FE"/>
    <w:rsid w:val="00452A21"/>
    <w:rsid w:val="00452A2C"/>
    <w:rsid w:val="00452AFE"/>
    <w:rsid w:val="00452C21"/>
    <w:rsid w:val="00452DB7"/>
    <w:rsid w:val="00452ED7"/>
    <w:rsid w:val="00453159"/>
    <w:rsid w:val="0045341E"/>
    <w:rsid w:val="00453568"/>
    <w:rsid w:val="0045362B"/>
    <w:rsid w:val="00453744"/>
    <w:rsid w:val="00453A90"/>
    <w:rsid w:val="004541A7"/>
    <w:rsid w:val="004541F2"/>
    <w:rsid w:val="0045474C"/>
    <w:rsid w:val="004548F5"/>
    <w:rsid w:val="004551C6"/>
    <w:rsid w:val="00455329"/>
    <w:rsid w:val="0045560D"/>
    <w:rsid w:val="004558FD"/>
    <w:rsid w:val="00455A9B"/>
    <w:rsid w:val="00455D03"/>
    <w:rsid w:val="00455D62"/>
    <w:rsid w:val="00455F76"/>
    <w:rsid w:val="0045607B"/>
    <w:rsid w:val="0045623E"/>
    <w:rsid w:val="00456AC8"/>
    <w:rsid w:val="00456D48"/>
    <w:rsid w:val="00457474"/>
    <w:rsid w:val="0045778F"/>
    <w:rsid w:val="00457AD0"/>
    <w:rsid w:val="00457E04"/>
    <w:rsid w:val="0046026A"/>
    <w:rsid w:val="00460360"/>
    <w:rsid w:val="00460450"/>
    <w:rsid w:val="00460487"/>
    <w:rsid w:val="00460649"/>
    <w:rsid w:val="004606A1"/>
    <w:rsid w:val="00460728"/>
    <w:rsid w:val="00460B91"/>
    <w:rsid w:val="00460E78"/>
    <w:rsid w:val="00461289"/>
    <w:rsid w:val="00461C61"/>
    <w:rsid w:val="004622FF"/>
    <w:rsid w:val="00462439"/>
    <w:rsid w:val="004624C3"/>
    <w:rsid w:val="0046256C"/>
    <w:rsid w:val="00462775"/>
    <w:rsid w:val="00462B6A"/>
    <w:rsid w:val="00462CD7"/>
    <w:rsid w:val="00462FB3"/>
    <w:rsid w:val="004632F6"/>
    <w:rsid w:val="00463339"/>
    <w:rsid w:val="004636D2"/>
    <w:rsid w:val="004636FC"/>
    <w:rsid w:val="00463BDC"/>
    <w:rsid w:val="00463CBD"/>
    <w:rsid w:val="00463EDB"/>
    <w:rsid w:val="004640A3"/>
    <w:rsid w:val="004641EC"/>
    <w:rsid w:val="00464485"/>
    <w:rsid w:val="0046458C"/>
    <w:rsid w:val="00464707"/>
    <w:rsid w:val="004647F9"/>
    <w:rsid w:val="004649C0"/>
    <w:rsid w:val="0046527D"/>
    <w:rsid w:val="0046541C"/>
    <w:rsid w:val="00465513"/>
    <w:rsid w:val="00465814"/>
    <w:rsid w:val="00465841"/>
    <w:rsid w:val="004658C1"/>
    <w:rsid w:val="004658CE"/>
    <w:rsid w:val="00465988"/>
    <w:rsid w:val="00465A20"/>
    <w:rsid w:val="00465D0D"/>
    <w:rsid w:val="00465DE8"/>
    <w:rsid w:val="0046691A"/>
    <w:rsid w:val="0046692D"/>
    <w:rsid w:val="00466A4B"/>
    <w:rsid w:val="00466CC5"/>
    <w:rsid w:val="00466DD2"/>
    <w:rsid w:val="00467297"/>
    <w:rsid w:val="004673B0"/>
    <w:rsid w:val="00467476"/>
    <w:rsid w:val="0046775A"/>
    <w:rsid w:val="004677F3"/>
    <w:rsid w:val="00467AE2"/>
    <w:rsid w:val="00467C14"/>
    <w:rsid w:val="00467C91"/>
    <w:rsid w:val="00467CA8"/>
    <w:rsid w:val="004703AF"/>
    <w:rsid w:val="0047052D"/>
    <w:rsid w:val="00470A26"/>
    <w:rsid w:val="00470A92"/>
    <w:rsid w:val="00470E47"/>
    <w:rsid w:val="00471057"/>
    <w:rsid w:val="00471098"/>
    <w:rsid w:val="0047162C"/>
    <w:rsid w:val="00471829"/>
    <w:rsid w:val="00471C15"/>
    <w:rsid w:val="00471CAF"/>
    <w:rsid w:val="00471E2B"/>
    <w:rsid w:val="00471EC7"/>
    <w:rsid w:val="00471F51"/>
    <w:rsid w:val="00471FC2"/>
    <w:rsid w:val="00471FF4"/>
    <w:rsid w:val="0047248C"/>
    <w:rsid w:val="004727D1"/>
    <w:rsid w:val="0047287B"/>
    <w:rsid w:val="00472B70"/>
    <w:rsid w:val="00473009"/>
    <w:rsid w:val="004730F1"/>
    <w:rsid w:val="00473942"/>
    <w:rsid w:val="00474180"/>
    <w:rsid w:val="00474352"/>
    <w:rsid w:val="0047444C"/>
    <w:rsid w:val="00474710"/>
    <w:rsid w:val="00474769"/>
    <w:rsid w:val="00474B63"/>
    <w:rsid w:val="00474BC2"/>
    <w:rsid w:val="00474C97"/>
    <w:rsid w:val="00474F20"/>
    <w:rsid w:val="00474FB3"/>
    <w:rsid w:val="00475174"/>
    <w:rsid w:val="004755E1"/>
    <w:rsid w:val="004758E4"/>
    <w:rsid w:val="00475ED7"/>
    <w:rsid w:val="004762F7"/>
    <w:rsid w:val="00476351"/>
    <w:rsid w:val="00476392"/>
    <w:rsid w:val="00476495"/>
    <w:rsid w:val="004764DE"/>
    <w:rsid w:val="00476675"/>
    <w:rsid w:val="00477519"/>
    <w:rsid w:val="004776A9"/>
    <w:rsid w:val="004776ED"/>
    <w:rsid w:val="0047774B"/>
    <w:rsid w:val="00477776"/>
    <w:rsid w:val="00477C64"/>
    <w:rsid w:val="00477D3A"/>
    <w:rsid w:val="00480129"/>
    <w:rsid w:val="004802D9"/>
    <w:rsid w:val="004802FF"/>
    <w:rsid w:val="004804B6"/>
    <w:rsid w:val="00480B24"/>
    <w:rsid w:val="00480CF2"/>
    <w:rsid w:val="00480E8D"/>
    <w:rsid w:val="00480F71"/>
    <w:rsid w:val="0048133E"/>
    <w:rsid w:val="00481933"/>
    <w:rsid w:val="00481CF0"/>
    <w:rsid w:val="00481FD5"/>
    <w:rsid w:val="004820FC"/>
    <w:rsid w:val="0048210B"/>
    <w:rsid w:val="004824A1"/>
    <w:rsid w:val="004826DF"/>
    <w:rsid w:val="00482761"/>
    <w:rsid w:val="004830EB"/>
    <w:rsid w:val="00483210"/>
    <w:rsid w:val="00483801"/>
    <w:rsid w:val="00483952"/>
    <w:rsid w:val="00483AEE"/>
    <w:rsid w:val="00483CF0"/>
    <w:rsid w:val="004841A5"/>
    <w:rsid w:val="004842AE"/>
    <w:rsid w:val="0048430D"/>
    <w:rsid w:val="00484838"/>
    <w:rsid w:val="0048496B"/>
    <w:rsid w:val="0048500F"/>
    <w:rsid w:val="0048518F"/>
    <w:rsid w:val="00485227"/>
    <w:rsid w:val="004853FA"/>
    <w:rsid w:val="004855E9"/>
    <w:rsid w:val="00485625"/>
    <w:rsid w:val="00485695"/>
    <w:rsid w:val="004856EE"/>
    <w:rsid w:val="00485743"/>
    <w:rsid w:val="004858BA"/>
    <w:rsid w:val="00485A8C"/>
    <w:rsid w:val="00485BDB"/>
    <w:rsid w:val="00485CE4"/>
    <w:rsid w:val="004861E1"/>
    <w:rsid w:val="00486BB0"/>
    <w:rsid w:val="00486C02"/>
    <w:rsid w:val="00486F78"/>
    <w:rsid w:val="00486F7B"/>
    <w:rsid w:val="0048701D"/>
    <w:rsid w:val="004872DA"/>
    <w:rsid w:val="0048741D"/>
    <w:rsid w:val="0048762F"/>
    <w:rsid w:val="004877A5"/>
    <w:rsid w:val="00487C69"/>
    <w:rsid w:val="00487EBC"/>
    <w:rsid w:val="004901D5"/>
    <w:rsid w:val="00490224"/>
    <w:rsid w:val="00490510"/>
    <w:rsid w:val="0049082B"/>
    <w:rsid w:val="00490D02"/>
    <w:rsid w:val="00490DCA"/>
    <w:rsid w:val="00490E7F"/>
    <w:rsid w:val="00490EE4"/>
    <w:rsid w:val="00491081"/>
    <w:rsid w:val="004910F7"/>
    <w:rsid w:val="004914E4"/>
    <w:rsid w:val="00491A1A"/>
    <w:rsid w:val="00491BDD"/>
    <w:rsid w:val="00491D40"/>
    <w:rsid w:val="00491E64"/>
    <w:rsid w:val="00492081"/>
    <w:rsid w:val="00492356"/>
    <w:rsid w:val="004923D3"/>
    <w:rsid w:val="004925B2"/>
    <w:rsid w:val="00492870"/>
    <w:rsid w:val="004928AF"/>
    <w:rsid w:val="00492C26"/>
    <w:rsid w:val="00492F6E"/>
    <w:rsid w:val="0049300B"/>
    <w:rsid w:val="0049347C"/>
    <w:rsid w:val="00493735"/>
    <w:rsid w:val="00493B0E"/>
    <w:rsid w:val="00493C5D"/>
    <w:rsid w:val="00494357"/>
    <w:rsid w:val="004945F1"/>
    <w:rsid w:val="0049460A"/>
    <w:rsid w:val="00494A56"/>
    <w:rsid w:val="00494DBB"/>
    <w:rsid w:val="00495154"/>
    <w:rsid w:val="00495564"/>
    <w:rsid w:val="00495BAF"/>
    <w:rsid w:val="00495F66"/>
    <w:rsid w:val="0049616A"/>
    <w:rsid w:val="00496443"/>
    <w:rsid w:val="0049660C"/>
    <w:rsid w:val="0049661B"/>
    <w:rsid w:val="004967BA"/>
    <w:rsid w:val="00496A6B"/>
    <w:rsid w:val="00496DF6"/>
    <w:rsid w:val="004975BE"/>
    <w:rsid w:val="004975DF"/>
    <w:rsid w:val="00497859"/>
    <w:rsid w:val="00497B89"/>
    <w:rsid w:val="00497D00"/>
    <w:rsid w:val="00497FB8"/>
    <w:rsid w:val="004A036B"/>
    <w:rsid w:val="004A04F1"/>
    <w:rsid w:val="004A058C"/>
    <w:rsid w:val="004A08D0"/>
    <w:rsid w:val="004A0D88"/>
    <w:rsid w:val="004A0F11"/>
    <w:rsid w:val="004A1065"/>
    <w:rsid w:val="004A10E2"/>
    <w:rsid w:val="004A1405"/>
    <w:rsid w:val="004A1430"/>
    <w:rsid w:val="004A16A7"/>
    <w:rsid w:val="004A1819"/>
    <w:rsid w:val="004A1FEB"/>
    <w:rsid w:val="004A221B"/>
    <w:rsid w:val="004A2260"/>
    <w:rsid w:val="004A236E"/>
    <w:rsid w:val="004A2579"/>
    <w:rsid w:val="004A279B"/>
    <w:rsid w:val="004A2AE4"/>
    <w:rsid w:val="004A2B47"/>
    <w:rsid w:val="004A2F74"/>
    <w:rsid w:val="004A3055"/>
    <w:rsid w:val="004A3086"/>
    <w:rsid w:val="004A30AB"/>
    <w:rsid w:val="004A32E4"/>
    <w:rsid w:val="004A34E8"/>
    <w:rsid w:val="004A3EE8"/>
    <w:rsid w:val="004A41BA"/>
    <w:rsid w:val="004A4706"/>
    <w:rsid w:val="004A4790"/>
    <w:rsid w:val="004A4955"/>
    <w:rsid w:val="004A4B38"/>
    <w:rsid w:val="004A4DBF"/>
    <w:rsid w:val="004A535D"/>
    <w:rsid w:val="004A53F6"/>
    <w:rsid w:val="004A572C"/>
    <w:rsid w:val="004A5798"/>
    <w:rsid w:val="004A5E5E"/>
    <w:rsid w:val="004A6341"/>
    <w:rsid w:val="004A637D"/>
    <w:rsid w:val="004A68C2"/>
    <w:rsid w:val="004A7074"/>
    <w:rsid w:val="004A715B"/>
    <w:rsid w:val="004A728D"/>
    <w:rsid w:val="004A7362"/>
    <w:rsid w:val="004A746F"/>
    <w:rsid w:val="004A74C2"/>
    <w:rsid w:val="004A75D8"/>
    <w:rsid w:val="004A7CAE"/>
    <w:rsid w:val="004A7EF3"/>
    <w:rsid w:val="004A7F9A"/>
    <w:rsid w:val="004B038C"/>
    <w:rsid w:val="004B050B"/>
    <w:rsid w:val="004B0894"/>
    <w:rsid w:val="004B0898"/>
    <w:rsid w:val="004B0984"/>
    <w:rsid w:val="004B0AFC"/>
    <w:rsid w:val="004B0E23"/>
    <w:rsid w:val="004B0EB2"/>
    <w:rsid w:val="004B10B6"/>
    <w:rsid w:val="004B1195"/>
    <w:rsid w:val="004B1251"/>
    <w:rsid w:val="004B1404"/>
    <w:rsid w:val="004B14D1"/>
    <w:rsid w:val="004B14FC"/>
    <w:rsid w:val="004B200A"/>
    <w:rsid w:val="004B23E2"/>
    <w:rsid w:val="004B2563"/>
    <w:rsid w:val="004B261F"/>
    <w:rsid w:val="004B2633"/>
    <w:rsid w:val="004B26FC"/>
    <w:rsid w:val="004B28C2"/>
    <w:rsid w:val="004B2B78"/>
    <w:rsid w:val="004B2D38"/>
    <w:rsid w:val="004B2F37"/>
    <w:rsid w:val="004B2FEF"/>
    <w:rsid w:val="004B30D0"/>
    <w:rsid w:val="004B30DC"/>
    <w:rsid w:val="004B3784"/>
    <w:rsid w:val="004B3968"/>
    <w:rsid w:val="004B3A67"/>
    <w:rsid w:val="004B3B48"/>
    <w:rsid w:val="004B3DDB"/>
    <w:rsid w:val="004B3FD2"/>
    <w:rsid w:val="004B4071"/>
    <w:rsid w:val="004B4314"/>
    <w:rsid w:val="004B44AA"/>
    <w:rsid w:val="004B45A5"/>
    <w:rsid w:val="004B46B3"/>
    <w:rsid w:val="004B4742"/>
    <w:rsid w:val="004B4785"/>
    <w:rsid w:val="004B4822"/>
    <w:rsid w:val="004B5050"/>
    <w:rsid w:val="004B515A"/>
    <w:rsid w:val="004B5330"/>
    <w:rsid w:val="004B55CE"/>
    <w:rsid w:val="004B5687"/>
    <w:rsid w:val="004B5AFC"/>
    <w:rsid w:val="004B5DE6"/>
    <w:rsid w:val="004B5E47"/>
    <w:rsid w:val="004B6223"/>
    <w:rsid w:val="004B62A9"/>
    <w:rsid w:val="004B63D9"/>
    <w:rsid w:val="004B6653"/>
    <w:rsid w:val="004B66E7"/>
    <w:rsid w:val="004B6A75"/>
    <w:rsid w:val="004B6FBE"/>
    <w:rsid w:val="004B73F5"/>
    <w:rsid w:val="004B7BF4"/>
    <w:rsid w:val="004B7C9F"/>
    <w:rsid w:val="004B7F3D"/>
    <w:rsid w:val="004B7F44"/>
    <w:rsid w:val="004C0003"/>
    <w:rsid w:val="004C052B"/>
    <w:rsid w:val="004C0762"/>
    <w:rsid w:val="004C07BE"/>
    <w:rsid w:val="004C0963"/>
    <w:rsid w:val="004C0C79"/>
    <w:rsid w:val="004C13E8"/>
    <w:rsid w:val="004C1C80"/>
    <w:rsid w:val="004C1FEC"/>
    <w:rsid w:val="004C21EC"/>
    <w:rsid w:val="004C233E"/>
    <w:rsid w:val="004C2446"/>
    <w:rsid w:val="004C2536"/>
    <w:rsid w:val="004C2594"/>
    <w:rsid w:val="004C2702"/>
    <w:rsid w:val="004C2848"/>
    <w:rsid w:val="004C2A77"/>
    <w:rsid w:val="004C2DFA"/>
    <w:rsid w:val="004C322E"/>
    <w:rsid w:val="004C3234"/>
    <w:rsid w:val="004C3350"/>
    <w:rsid w:val="004C3459"/>
    <w:rsid w:val="004C3620"/>
    <w:rsid w:val="004C378B"/>
    <w:rsid w:val="004C381B"/>
    <w:rsid w:val="004C3888"/>
    <w:rsid w:val="004C3AF6"/>
    <w:rsid w:val="004C4438"/>
    <w:rsid w:val="004C449B"/>
    <w:rsid w:val="004C4534"/>
    <w:rsid w:val="004C4B7A"/>
    <w:rsid w:val="004C519E"/>
    <w:rsid w:val="004C56F5"/>
    <w:rsid w:val="004C5759"/>
    <w:rsid w:val="004C57C2"/>
    <w:rsid w:val="004C58A0"/>
    <w:rsid w:val="004C61E3"/>
    <w:rsid w:val="004C627B"/>
    <w:rsid w:val="004C6658"/>
    <w:rsid w:val="004C6755"/>
    <w:rsid w:val="004C68FB"/>
    <w:rsid w:val="004C6D1F"/>
    <w:rsid w:val="004C6D5C"/>
    <w:rsid w:val="004C729A"/>
    <w:rsid w:val="004C7302"/>
    <w:rsid w:val="004C77D0"/>
    <w:rsid w:val="004C78D7"/>
    <w:rsid w:val="004C7A8B"/>
    <w:rsid w:val="004C7BD9"/>
    <w:rsid w:val="004C7DBF"/>
    <w:rsid w:val="004C7ECA"/>
    <w:rsid w:val="004D014A"/>
    <w:rsid w:val="004D032A"/>
    <w:rsid w:val="004D0345"/>
    <w:rsid w:val="004D040D"/>
    <w:rsid w:val="004D04E6"/>
    <w:rsid w:val="004D07CE"/>
    <w:rsid w:val="004D0C51"/>
    <w:rsid w:val="004D116A"/>
    <w:rsid w:val="004D1348"/>
    <w:rsid w:val="004D13A3"/>
    <w:rsid w:val="004D1472"/>
    <w:rsid w:val="004D2037"/>
    <w:rsid w:val="004D21A8"/>
    <w:rsid w:val="004D27BC"/>
    <w:rsid w:val="004D2BCB"/>
    <w:rsid w:val="004D2DE6"/>
    <w:rsid w:val="004D305B"/>
    <w:rsid w:val="004D3303"/>
    <w:rsid w:val="004D370A"/>
    <w:rsid w:val="004D3AFB"/>
    <w:rsid w:val="004D3B16"/>
    <w:rsid w:val="004D41CE"/>
    <w:rsid w:val="004D41EF"/>
    <w:rsid w:val="004D456B"/>
    <w:rsid w:val="004D4C87"/>
    <w:rsid w:val="004D4D23"/>
    <w:rsid w:val="004D4FCA"/>
    <w:rsid w:val="004D523D"/>
    <w:rsid w:val="004D5275"/>
    <w:rsid w:val="004D52A7"/>
    <w:rsid w:val="004D52E5"/>
    <w:rsid w:val="004D535F"/>
    <w:rsid w:val="004D55E9"/>
    <w:rsid w:val="004D5D56"/>
    <w:rsid w:val="004D6115"/>
    <w:rsid w:val="004D6236"/>
    <w:rsid w:val="004D6884"/>
    <w:rsid w:val="004D69A4"/>
    <w:rsid w:val="004D6C67"/>
    <w:rsid w:val="004D6E64"/>
    <w:rsid w:val="004D6ED0"/>
    <w:rsid w:val="004D7143"/>
    <w:rsid w:val="004D7477"/>
    <w:rsid w:val="004D7AAE"/>
    <w:rsid w:val="004D7C2E"/>
    <w:rsid w:val="004D7C70"/>
    <w:rsid w:val="004D7F22"/>
    <w:rsid w:val="004E0A1C"/>
    <w:rsid w:val="004E0C1F"/>
    <w:rsid w:val="004E0D8C"/>
    <w:rsid w:val="004E0F66"/>
    <w:rsid w:val="004E105A"/>
    <w:rsid w:val="004E140F"/>
    <w:rsid w:val="004E1B63"/>
    <w:rsid w:val="004E1DCC"/>
    <w:rsid w:val="004E1EA7"/>
    <w:rsid w:val="004E1FD8"/>
    <w:rsid w:val="004E2066"/>
    <w:rsid w:val="004E209C"/>
    <w:rsid w:val="004E2C2E"/>
    <w:rsid w:val="004E307C"/>
    <w:rsid w:val="004E350F"/>
    <w:rsid w:val="004E358D"/>
    <w:rsid w:val="004E3838"/>
    <w:rsid w:val="004E3DA2"/>
    <w:rsid w:val="004E3F2A"/>
    <w:rsid w:val="004E4192"/>
    <w:rsid w:val="004E41BF"/>
    <w:rsid w:val="004E4304"/>
    <w:rsid w:val="004E4318"/>
    <w:rsid w:val="004E432E"/>
    <w:rsid w:val="004E4453"/>
    <w:rsid w:val="004E45CD"/>
    <w:rsid w:val="004E4B07"/>
    <w:rsid w:val="004E4D4E"/>
    <w:rsid w:val="004E5286"/>
    <w:rsid w:val="004E6045"/>
    <w:rsid w:val="004E6302"/>
    <w:rsid w:val="004E65B0"/>
    <w:rsid w:val="004E696C"/>
    <w:rsid w:val="004E6B2A"/>
    <w:rsid w:val="004E6E7F"/>
    <w:rsid w:val="004E702F"/>
    <w:rsid w:val="004E70B4"/>
    <w:rsid w:val="004E74C9"/>
    <w:rsid w:val="004E751F"/>
    <w:rsid w:val="004E75F6"/>
    <w:rsid w:val="004F0049"/>
    <w:rsid w:val="004F0480"/>
    <w:rsid w:val="004F0679"/>
    <w:rsid w:val="004F06DA"/>
    <w:rsid w:val="004F094F"/>
    <w:rsid w:val="004F0ADF"/>
    <w:rsid w:val="004F0B24"/>
    <w:rsid w:val="004F0BA8"/>
    <w:rsid w:val="004F0BD8"/>
    <w:rsid w:val="004F0C03"/>
    <w:rsid w:val="004F0D71"/>
    <w:rsid w:val="004F0E23"/>
    <w:rsid w:val="004F11A9"/>
    <w:rsid w:val="004F1203"/>
    <w:rsid w:val="004F15EA"/>
    <w:rsid w:val="004F1812"/>
    <w:rsid w:val="004F1B0B"/>
    <w:rsid w:val="004F1F66"/>
    <w:rsid w:val="004F2520"/>
    <w:rsid w:val="004F2A3E"/>
    <w:rsid w:val="004F2C24"/>
    <w:rsid w:val="004F3549"/>
    <w:rsid w:val="004F3811"/>
    <w:rsid w:val="004F3E44"/>
    <w:rsid w:val="004F4215"/>
    <w:rsid w:val="004F45C6"/>
    <w:rsid w:val="004F499F"/>
    <w:rsid w:val="004F4A0B"/>
    <w:rsid w:val="004F4D24"/>
    <w:rsid w:val="004F554B"/>
    <w:rsid w:val="004F5601"/>
    <w:rsid w:val="004F5673"/>
    <w:rsid w:val="004F5685"/>
    <w:rsid w:val="004F5E3A"/>
    <w:rsid w:val="004F6F94"/>
    <w:rsid w:val="004F70E4"/>
    <w:rsid w:val="004F70EA"/>
    <w:rsid w:val="004F7206"/>
    <w:rsid w:val="004F731A"/>
    <w:rsid w:val="004F74EE"/>
    <w:rsid w:val="004F7F75"/>
    <w:rsid w:val="0050011A"/>
    <w:rsid w:val="00500331"/>
    <w:rsid w:val="00500372"/>
    <w:rsid w:val="0050084B"/>
    <w:rsid w:val="00500C5D"/>
    <w:rsid w:val="00500F64"/>
    <w:rsid w:val="005012A7"/>
    <w:rsid w:val="00501529"/>
    <w:rsid w:val="00501618"/>
    <w:rsid w:val="005016D1"/>
    <w:rsid w:val="0050188A"/>
    <w:rsid w:val="005018BB"/>
    <w:rsid w:val="00502102"/>
    <w:rsid w:val="005026E6"/>
    <w:rsid w:val="0050281B"/>
    <w:rsid w:val="00502D70"/>
    <w:rsid w:val="005033F2"/>
    <w:rsid w:val="00503721"/>
    <w:rsid w:val="00503F6B"/>
    <w:rsid w:val="00503FBD"/>
    <w:rsid w:val="005041B1"/>
    <w:rsid w:val="005041FB"/>
    <w:rsid w:val="00504276"/>
    <w:rsid w:val="00504321"/>
    <w:rsid w:val="00504575"/>
    <w:rsid w:val="00504AB4"/>
    <w:rsid w:val="00504CF2"/>
    <w:rsid w:val="00504E76"/>
    <w:rsid w:val="00505899"/>
    <w:rsid w:val="00505A59"/>
    <w:rsid w:val="00505B9D"/>
    <w:rsid w:val="005060C8"/>
    <w:rsid w:val="005061F3"/>
    <w:rsid w:val="0050677C"/>
    <w:rsid w:val="00506824"/>
    <w:rsid w:val="00506BDD"/>
    <w:rsid w:val="0050752B"/>
    <w:rsid w:val="00507E47"/>
    <w:rsid w:val="00507FD7"/>
    <w:rsid w:val="00510039"/>
    <w:rsid w:val="005100E0"/>
    <w:rsid w:val="0051045B"/>
    <w:rsid w:val="00510B3C"/>
    <w:rsid w:val="00510C23"/>
    <w:rsid w:val="005111F4"/>
    <w:rsid w:val="00511628"/>
    <w:rsid w:val="00511C3F"/>
    <w:rsid w:val="00511C81"/>
    <w:rsid w:val="00512215"/>
    <w:rsid w:val="00512513"/>
    <w:rsid w:val="0051257C"/>
    <w:rsid w:val="00512BCE"/>
    <w:rsid w:val="00512C09"/>
    <w:rsid w:val="00512C76"/>
    <w:rsid w:val="00512EBE"/>
    <w:rsid w:val="00512F6A"/>
    <w:rsid w:val="0051343B"/>
    <w:rsid w:val="005137A5"/>
    <w:rsid w:val="00513E04"/>
    <w:rsid w:val="00513F2C"/>
    <w:rsid w:val="00513FD4"/>
    <w:rsid w:val="005140CF"/>
    <w:rsid w:val="0051420F"/>
    <w:rsid w:val="0051425D"/>
    <w:rsid w:val="0051535E"/>
    <w:rsid w:val="00515606"/>
    <w:rsid w:val="00515914"/>
    <w:rsid w:val="00515A55"/>
    <w:rsid w:val="00515C15"/>
    <w:rsid w:val="00515E22"/>
    <w:rsid w:val="00515F8A"/>
    <w:rsid w:val="00516031"/>
    <w:rsid w:val="0051607A"/>
    <w:rsid w:val="005163AA"/>
    <w:rsid w:val="0051694E"/>
    <w:rsid w:val="00516A3D"/>
    <w:rsid w:val="00516C5A"/>
    <w:rsid w:val="00516D75"/>
    <w:rsid w:val="005172F8"/>
    <w:rsid w:val="0051749E"/>
    <w:rsid w:val="00517759"/>
    <w:rsid w:val="00517A99"/>
    <w:rsid w:val="00517BE4"/>
    <w:rsid w:val="00517C63"/>
    <w:rsid w:val="00520234"/>
    <w:rsid w:val="00521908"/>
    <w:rsid w:val="00521B82"/>
    <w:rsid w:val="00521E52"/>
    <w:rsid w:val="00521F2F"/>
    <w:rsid w:val="005222FF"/>
    <w:rsid w:val="0052237B"/>
    <w:rsid w:val="005223D0"/>
    <w:rsid w:val="0052285F"/>
    <w:rsid w:val="00523E65"/>
    <w:rsid w:val="00523EDE"/>
    <w:rsid w:val="00524282"/>
    <w:rsid w:val="005242DD"/>
    <w:rsid w:val="0052448E"/>
    <w:rsid w:val="00524CC0"/>
    <w:rsid w:val="00524DCC"/>
    <w:rsid w:val="00524E0B"/>
    <w:rsid w:val="00524EF4"/>
    <w:rsid w:val="00524F64"/>
    <w:rsid w:val="005252D8"/>
    <w:rsid w:val="005254AA"/>
    <w:rsid w:val="00525C8F"/>
    <w:rsid w:val="00525E52"/>
    <w:rsid w:val="00525EEE"/>
    <w:rsid w:val="0052613C"/>
    <w:rsid w:val="00526BE0"/>
    <w:rsid w:val="00526D62"/>
    <w:rsid w:val="005273B4"/>
    <w:rsid w:val="00527556"/>
    <w:rsid w:val="005277C2"/>
    <w:rsid w:val="00527836"/>
    <w:rsid w:val="0052797E"/>
    <w:rsid w:val="005300E4"/>
    <w:rsid w:val="0053029E"/>
    <w:rsid w:val="0053068D"/>
    <w:rsid w:val="005306AB"/>
    <w:rsid w:val="005307AC"/>
    <w:rsid w:val="005309A3"/>
    <w:rsid w:val="00530A81"/>
    <w:rsid w:val="00530B91"/>
    <w:rsid w:val="00530D88"/>
    <w:rsid w:val="00530DAF"/>
    <w:rsid w:val="00530E1F"/>
    <w:rsid w:val="0053125D"/>
    <w:rsid w:val="00531A14"/>
    <w:rsid w:val="00531CF8"/>
    <w:rsid w:val="00532670"/>
    <w:rsid w:val="0053267E"/>
    <w:rsid w:val="00532817"/>
    <w:rsid w:val="00532DE6"/>
    <w:rsid w:val="00533207"/>
    <w:rsid w:val="005332E0"/>
    <w:rsid w:val="0053341E"/>
    <w:rsid w:val="005336C2"/>
    <w:rsid w:val="00533786"/>
    <w:rsid w:val="0053388C"/>
    <w:rsid w:val="00533D53"/>
    <w:rsid w:val="00533E55"/>
    <w:rsid w:val="005341CC"/>
    <w:rsid w:val="00534286"/>
    <w:rsid w:val="00534578"/>
    <w:rsid w:val="00534FAC"/>
    <w:rsid w:val="0053519C"/>
    <w:rsid w:val="0053539E"/>
    <w:rsid w:val="005353C7"/>
    <w:rsid w:val="005358D2"/>
    <w:rsid w:val="00535A94"/>
    <w:rsid w:val="00536304"/>
    <w:rsid w:val="00536ADD"/>
    <w:rsid w:val="00536B5B"/>
    <w:rsid w:val="00536D56"/>
    <w:rsid w:val="00536EEA"/>
    <w:rsid w:val="00536F7C"/>
    <w:rsid w:val="0053705F"/>
    <w:rsid w:val="005373BB"/>
    <w:rsid w:val="00537541"/>
    <w:rsid w:val="00537B6E"/>
    <w:rsid w:val="00537BAA"/>
    <w:rsid w:val="00537C83"/>
    <w:rsid w:val="00537E6C"/>
    <w:rsid w:val="005403D0"/>
    <w:rsid w:val="005406A4"/>
    <w:rsid w:val="005406B1"/>
    <w:rsid w:val="005406D7"/>
    <w:rsid w:val="0054077F"/>
    <w:rsid w:val="00540BA5"/>
    <w:rsid w:val="005410F1"/>
    <w:rsid w:val="0054118B"/>
    <w:rsid w:val="0054125A"/>
    <w:rsid w:val="0054183A"/>
    <w:rsid w:val="00541952"/>
    <w:rsid w:val="00541AF5"/>
    <w:rsid w:val="00541D8C"/>
    <w:rsid w:val="00541EBC"/>
    <w:rsid w:val="00541EEB"/>
    <w:rsid w:val="00541F59"/>
    <w:rsid w:val="00542CF5"/>
    <w:rsid w:val="005430E2"/>
    <w:rsid w:val="0054393C"/>
    <w:rsid w:val="00543D65"/>
    <w:rsid w:val="00543E25"/>
    <w:rsid w:val="00544003"/>
    <w:rsid w:val="005440BA"/>
    <w:rsid w:val="00544350"/>
    <w:rsid w:val="00544448"/>
    <w:rsid w:val="005444F7"/>
    <w:rsid w:val="00544696"/>
    <w:rsid w:val="0054488C"/>
    <w:rsid w:val="00544948"/>
    <w:rsid w:val="00544C3C"/>
    <w:rsid w:val="00544C97"/>
    <w:rsid w:val="00545C86"/>
    <w:rsid w:val="00545F37"/>
    <w:rsid w:val="00545FCF"/>
    <w:rsid w:val="005460DA"/>
    <w:rsid w:val="00546480"/>
    <w:rsid w:val="00546CB3"/>
    <w:rsid w:val="00547470"/>
    <w:rsid w:val="005475A4"/>
    <w:rsid w:val="005476C0"/>
    <w:rsid w:val="00547727"/>
    <w:rsid w:val="0055025F"/>
    <w:rsid w:val="00550295"/>
    <w:rsid w:val="005503F2"/>
    <w:rsid w:val="00550482"/>
    <w:rsid w:val="005504E1"/>
    <w:rsid w:val="00550575"/>
    <w:rsid w:val="00550615"/>
    <w:rsid w:val="00550BF5"/>
    <w:rsid w:val="00550D72"/>
    <w:rsid w:val="00550DB8"/>
    <w:rsid w:val="00550F72"/>
    <w:rsid w:val="0055108A"/>
    <w:rsid w:val="005510E8"/>
    <w:rsid w:val="005513CE"/>
    <w:rsid w:val="00551B87"/>
    <w:rsid w:val="00551C9E"/>
    <w:rsid w:val="00551DCC"/>
    <w:rsid w:val="005521AF"/>
    <w:rsid w:val="0055264C"/>
    <w:rsid w:val="005528F4"/>
    <w:rsid w:val="00552B5C"/>
    <w:rsid w:val="00552BD8"/>
    <w:rsid w:val="00552E91"/>
    <w:rsid w:val="00552EDD"/>
    <w:rsid w:val="00553149"/>
    <w:rsid w:val="005531BD"/>
    <w:rsid w:val="00553357"/>
    <w:rsid w:val="00553505"/>
    <w:rsid w:val="005535D5"/>
    <w:rsid w:val="005536FB"/>
    <w:rsid w:val="005537B8"/>
    <w:rsid w:val="005538F3"/>
    <w:rsid w:val="00553DFF"/>
    <w:rsid w:val="00553EAE"/>
    <w:rsid w:val="00553FB6"/>
    <w:rsid w:val="00553FDA"/>
    <w:rsid w:val="00554038"/>
    <w:rsid w:val="00554127"/>
    <w:rsid w:val="005544D3"/>
    <w:rsid w:val="0055460D"/>
    <w:rsid w:val="0055480D"/>
    <w:rsid w:val="005555E9"/>
    <w:rsid w:val="00555751"/>
    <w:rsid w:val="005557F3"/>
    <w:rsid w:val="00555912"/>
    <w:rsid w:val="00555979"/>
    <w:rsid w:val="00555B56"/>
    <w:rsid w:val="00555BF0"/>
    <w:rsid w:val="00555D10"/>
    <w:rsid w:val="0055664C"/>
    <w:rsid w:val="005566DB"/>
    <w:rsid w:val="00556C43"/>
    <w:rsid w:val="00556D3E"/>
    <w:rsid w:val="005574A9"/>
    <w:rsid w:val="005574E5"/>
    <w:rsid w:val="005577CB"/>
    <w:rsid w:val="005579A5"/>
    <w:rsid w:val="00557F3B"/>
    <w:rsid w:val="005605FC"/>
    <w:rsid w:val="00560762"/>
    <w:rsid w:val="00560BD0"/>
    <w:rsid w:val="0056107B"/>
    <w:rsid w:val="00561610"/>
    <w:rsid w:val="00561658"/>
    <w:rsid w:val="00562A87"/>
    <w:rsid w:val="00562EA2"/>
    <w:rsid w:val="00562F1F"/>
    <w:rsid w:val="0056395D"/>
    <w:rsid w:val="00563A9F"/>
    <w:rsid w:val="00563B37"/>
    <w:rsid w:val="00563D5C"/>
    <w:rsid w:val="00563F9A"/>
    <w:rsid w:val="00563FA4"/>
    <w:rsid w:val="00564564"/>
    <w:rsid w:val="00564566"/>
    <w:rsid w:val="00564579"/>
    <w:rsid w:val="005645D6"/>
    <w:rsid w:val="00564790"/>
    <w:rsid w:val="00564A0D"/>
    <w:rsid w:val="00564A1D"/>
    <w:rsid w:val="00564EB9"/>
    <w:rsid w:val="00565417"/>
    <w:rsid w:val="0056566D"/>
    <w:rsid w:val="005656B3"/>
    <w:rsid w:val="0056576F"/>
    <w:rsid w:val="00565813"/>
    <w:rsid w:val="00565BBE"/>
    <w:rsid w:val="0056629D"/>
    <w:rsid w:val="00566379"/>
    <w:rsid w:val="005664D3"/>
    <w:rsid w:val="00566622"/>
    <w:rsid w:val="005666CA"/>
    <w:rsid w:val="00566731"/>
    <w:rsid w:val="00566AC7"/>
    <w:rsid w:val="00566E3A"/>
    <w:rsid w:val="00566EBB"/>
    <w:rsid w:val="005672A3"/>
    <w:rsid w:val="00567315"/>
    <w:rsid w:val="005677B3"/>
    <w:rsid w:val="00567942"/>
    <w:rsid w:val="00570078"/>
    <w:rsid w:val="0057037A"/>
    <w:rsid w:val="005705ED"/>
    <w:rsid w:val="00570653"/>
    <w:rsid w:val="0057078E"/>
    <w:rsid w:val="00570E02"/>
    <w:rsid w:val="00570F93"/>
    <w:rsid w:val="005718BB"/>
    <w:rsid w:val="00571BF7"/>
    <w:rsid w:val="00571CAD"/>
    <w:rsid w:val="00571DD0"/>
    <w:rsid w:val="00572022"/>
    <w:rsid w:val="0057204D"/>
    <w:rsid w:val="00572094"/>
    <w:rsid w:val="005720E2"/>
    <w:rsid w:val="00572117"/>
    <w:rsid w:val="005723DE"/>
    <w:rsid w:val="00572858"/>
    <w:rsid w:val="00572E57"/>
    <w:rsid w:val="00573048"/>
    <w:rsid w:val="00573068"/>
    <w:rsid w:val="00573203"/>
    <w:rsid w:val="00573260"/>
    <w:rsid w:val="005732B1"/>
    <w:rsid w:val="00573386"/>
    <w:rsid w:val="00573422"/>
    <w:rsid w:val="00573455"/>
    <w:rsid w:val="00573698"/>
    <w:rsid w:val="00573A6F"/>
    <w:rsid w:val="00573D8F"/>
    <w:rsid w:val="00573FEE"/>
    <w:rsid w:val="005740D4"/>
    <w:rsid w:val="005743D3"/>
    <w:rsid w:val="0057463B"/>
    <w:rsid w:val="005748DF"/>
    <w:rsid w:val="0057495B"/>
    <w:rsid w:val="00574B55"/>
    <w:rsid w:val="005751AD"/>
    <w:rsid w:val="00575550"/>
    <w:rsid w:val="005757A9"/>
    <w:rsid w:val="00575813"/>
    <w:rsid w:val="00575963"/>
    <w:rsid w:val="00575D15"/>
    <w:rsid w:val="00575E62"/>
    <w:rsid w:val="00575F48"/>
    <w:rsid w:val="00575F6E"/>
    <w:rsid w:val="00575F81"/>
    <w:rsid w:val="0057651D"/>
    <w:rsid w:val="0057663B"/>
    <w:rsid w:val="00576652"/>
    <w:rsid w:val="00576713"/>
    <w:rsid w:val="00576C53"/>
    <w:rsid w:val="00576D98"/>
    <w:rsid w:val="00576DC2"/>
    <w:rsid w:val="00576E40"/>
    <w:rsid w:val="00576F5C"/>
    <w:rsid w:val="00577125"/>
    <w:rsid w:val="00577462"/>
    <w:rsid w:val="005775B6"/>
    <w:rsid w:val="005779C8"/>
    <w:rsid w:val="00577E40"/>
    <w:rsid w:val="00577EF5"/>
    <w:rsid w:val="00577FFC"/>
    <w:rsid w:val="00580170"/>
    <w:rsid w:val="00580323"/>
    <w:rsid w:val="0058035B"/>
    <w:rsid w:val="00580501"/>
    <w:rsid w:val="00580906"/>
    <w:rsid w:val="00580B0C"/>
    <w:rsid w:val="00580DBF"/>
    <w:rsid w:val="00580DC5"/>
    <w:rsid w:val="00580DD8"/>
    <w:rsid w:val="00581662"/>
    <w:rsid w:val="00581926"/>
    <w:rsid w:val="00581B1A"/>
    <w:rsid w:val="005823E2"/>
    <w:rsid w:val="005827C4"/>
    <w:rsid w:val="005829A5"/>
    <w:rsid w:val="005829B8"/>
    <w:rsid w:val="00582A54"/>
    <w:rsid w:val="00582E83"/>
    <w:rsid w:val="00582FE8"/>
    <w:rsid w:val="0058312C"/>
    <w:rsid w:val="00583203"/>
    <w:rsid w:val="005834AB"/>
    <w:rsid w:val="005836FB"/>
    <w:rsid w:val="00583868"/>
    <w:rsid w:val="005839F8"/>
    <w:rsid w:val="00583BE1"/>
    <w:rsid w:val="00583C67"/>
    <w:rsid w:val="00583E59"/>
    <w:rsid w:val="00584038"/>
    <w:rsid w:val="005842DC"/>
    <w:rsid w:val="00584436"/>
    <w:rsid w:val="00584836"/>
    <w:rsid w:val="00584CB3"/>
    <w:rsid w:val="00584DF2"/>
    <w:rsid w:val="00584F73"/>
    <w:rsid w:val="00584FB2"/>
    <w:rsid w:val="00585487"/>
    <w:rsid w:val="00585502"/>
    <w:rsid w:val="0058594B"/>
    <w:rsid w:val="0058595D"/>
    <w:rsid w:val="00585B92"/>
    <w:rsid w:val="00585C16"/>
    <w:rsid w:val="00585DA5"/>
    <w:rsid w:val="00585E02"/>
    <w:rsid w:val="00586214"/>
    <w:rsid w:val="005863F5"/>
    <w:rsid w:val="0058642B"/>
    <w:rsid w:val="00586556"/>
    <w:rsid w:val="00586864"/>
    <w:rsid w:val="00586961"/>
    <w:rsid w:val="00586A5D"/>
    <w:rsid w:val="00586D9E"/>
    <w:rsid w:val="00586E05"/>
    <w:rsid w:val="00586E9E"/>
    <w:rsid w:val="00587349"/>
    <w:rsid w:val="005873EE"/>
    <w:rsid w:val="0058745E"/>
    <w:rsid w:val="005900DB"/>
    <w:rsid w:val="005900E5"/>
    <w:rsid w:val="00590394"/>
    <w:rsid w:val="00590432"/>
    <w:rsid w:val="005906C6"/>
    <w:rsid w:val="00590970"/>
    <w:rsid w:val="0059097A"/>
    <w:rsid w:val="00590ADC"/>
    <w:rsid w:val="00590C17"/>
    <w:rsid w:val="00590D45"/>
    <w:rsid w:val="0059108B"/>
    <w:rsid w:val="005917F3"/>
    <w:rsid w:val="005919E2"/>
    <w:rsid w:val="00591E8E"/>
    <w:rsid w:val="00592000"/>
    <w:rsid w:val="00592106"/>
    <w:rsid w:val="005921A4"/>
    <w:rsid w:val="005921FF"/>
    <w:rsid w:val="00592307"/>
    <w:rsid w:val="00592817"/>
    <w:rsid w:val="005928D9"/>
    <w:rsid w:val="00592A7B"/>
    <w:rsid w:val="00593042"/>
    <w:rsid w:val="00593651"/>
    <w:rsid w:val="0059367B"/>
    <w:rsid w:val="005938C6"/>
    <w:rsid w:val="00593F02"/>
    <w:rsid w:val="0059470A"/>
    <w:rsid w:val="00594973"/>
    <w:rsid w:val="00594B88"/>
    <w:rsid w:val="00594BEA"/>
    <w:rsid w:val="00594EA6"/>
    <w:rsid w:val="005951E4"/>
    <w:rsid w:val="0059528C"/>
    <w:rsid w:val="0059584E"/>
    <w:rsid w:val="00595A6B"/>
    <w:rsid w:val="00595B28"/>
    <w:rsid w:val="00595CC5"/>
    <w:rsid w:val="0059605E"/>
    <w:rsid w:val="00596148"/>
    <w:rsid w:val="00596222"/>
    <w:rsid w:val="0059625B"/>
    <w:rsid w:val="00596273"/>
    <w:rsid w:val="00596549"/>
    <w:rsid w:val="00596657"/>
    <w:rsid w:val="00596761"/>
    <w:rsid w:val="005968C3"/>
    <w:rsid w:val="005969B1"/>
    <w:rsid w:val="00596D72"/>
    <w:rsid w:val="00596FD3"/>
    <w:rsid w:val="00597055"/>
    <w:rsid w:val="0059706C"/>
    <w:rsid w:val="0059718F"/>
    <w:rsid w:val="005972E5"/>
    <w:rsid w:val="00597471"/>
    <w:rsid w:val="005977F1"/>
    <w:rsid w:val="00597A01"/>
    <w:rsid w:val="00597C6E"/>
    <w:rsid w:val="005A01ED"/>
    <w:rsid w:val="005A0715"/>
    <w:rsid w:val="005A0A8C"/>
    <w:rsid w:val="005A0ACB"/>
    <w:rsid w:val="005A0D2F"/>
    <w:rsid w:val="005A155E"/>
    <w:rsid w:val="005A16B9"/>
    <w:rsid w:val="005A1EC8"/>
    <w:rsid w:val="005A2973"/>
    <w:rsid w:val="005A2FD3"/>
    <w:rsid w:val="005A33FB"/>
    <w:rsid w:val="005A359A"/>
    <w:rsid w:val="005A3CBB"/>
    <w:rsid w:val="005A4485"/>
    <w:rsid w:val="005A4660"/>
    <w:rsid w:val="005A4D13"/>
    <w:rsid w:val="005A4DB9"/>
    <w:rsid w:val="005A52AA"/>
    <w:rsid w:val="005A54E1"/>
    <w:rsid w:val="005A6018"/>
    <w:rsid w:val="005A6028"/>
    <w:rsid w:val="005A603E"/>
    <w:rsid w:val="005A6122"/>
    <w:rsid w:val="005A63E3"/>
    <w:rsid w:val="005A6950"/>
    <w:rsid w:val="005A69B2"/>
    <w:rsid w:val="005A6D63"/>
    <w:rsid w:val="005A77E0"/>
    <w:rsid w:val="005A7ABA"/>
    <w:rsid w:val="005A7B66"/>
    <w:rsid w:val="005A7B6E"/>
    <w:rsid w:val="005A7D2C"/>
    <w:rsid w:val="005A7E5B"/>
    <w:rsid w:val="005A7EF6"/>
    <w:rsid w:val="005B053D"/>
    <w:rsid w:val="005B0747"/>
    <w:rsid w:val="005B089A"/>
    <w:rsid w:val="005B0B81"/>
    <w:rsid w:val="005B0BDD"/>
    <w:rsid w:val="005B0BF0"/>
    <w:rsid w:val="005B129F"/>
    <w:rsid w:val="005B1375"/>
    <w:rsid w:val="005B16EA"/>
    <w:rsid w:val="005B1C38"/>
    <w:rsid w:val="005B1CA1"/>
    <w:rsid w:val="005B1FDF"/>
    <w:rsid w:val="005B2040"/>
    <w:rsid w:val="005B21AC"/>
    <w:rsid w:val="005B23E0"/>
    <w:rsid w:val="005B257D"/>
    <w:rsid w:val="005B25E2"/>
    <w:rsid w:val="005B26C4"/>
    <w:rsid w:val="005B27A1"/>
    <w:rsid w:val="005B29CE"/>
    <w:rsid w:val="005B2AF4"/>
    <w:rsid w:val="005B2B5A"/>
    <w:rsid w:val="005B2C6B"/>
    <w:rsid w:val="005B2CEB"/>
    <w:rsid w:val="005B30C6"/>
    <w:rsid w:val="005B31FF"/>
    <w:rsid w:val="005B36C3"/>
    <w:rsid w:val="005B3850"/>
    <w:rsid w:val="005B3A1E"/>
    <w:rsid w:val="005B3EA4"/>
    <w:rsid w:val="005B3EFB"/>
    <w:rsid w:val="005B3F77"/>
    <w:rsid w:val="005B49D4"/>
    <w:rsid w:val="005B5559"/>
    <w:rsid w:val="005B583D"/>
    <w:rsid w:val="005B58D0"/>
    <w:rsid w:val="005B5A81"/>
    <w:rsid w:val="005B5BD0"/>
    <w:rsid w:val="005B5F82"/>
    <w:rsid w:val="005B626B"/>
    <w:rsid w:val="005B63DE"/>
    <w:rsid w:val="005B63E8"/>
    <w:rsid w:val="005B64EF"/>
    <w:rsid w:val="005B6527"/>
    <w:rsid w:val="005B6AFE"/>
    <w:rsid w:val="005B6B8E"/>
    <w:rsid w:val="005B6ED0"/>
    <w:rsid w:val="005B73FC"/>
    <w:rsid w:val="005B781D"/>
    <w:rsid w:val="005B7B65"/>
    <w:rsid w:val="005B7EAA"/>
    <w:rsid w:val="005C003A"/>
    <w:rsid w:val="005C006A"/>
    <w:rsid w:val="005C013C"/>
    <w:rsid w:val="005C0839"/>
    <w:rsid w:val="005C0856"/>
    <w:rsid w:val="005C0A0C"/>
    <w:rsid w:val="005C0B60"/>
    <w:rsid w:val="005C0BB8"/>
    <w:rsid w:val="005C0E95"/>
    <w:rsid w:val="005C123E"/>
    <w:rsid w:val="005C14D8"/>
    <w:rsid w:val="005C15A9"/>
    <w:rsid w:val="005C1B66"/>
    <w:rsid w:val="005C1C3C"/>
    <w:rsid w:val="005C1FF9"/>
    <w:rsid w:val="005C2452"/>
    <w:rsid w:val="005C27D2"/>
    <w:rsid w:val="005C27D6"/>
    <w:rsid w:val="005C2ED4"/>
    <w:rsid w:val="005C2F43"/>
    <w:rsid w:val="005C311F"/>
    <w:rsid w:val="005C31A9"/>
    <w:rsid w:val="005C32E3"/>
    <w:rsid w:val="005C339A"/>
    <w:rsid w:val="005C34EC"/>
    <w:rsid w:val="005C358D"/>
    <w:rsid w:val="005C35DA"/>
    <w:rsid w:val="005C3834"/>
    <w:rsid w:val="005C3B8D"/>
    <w:rsid w:val="005C3ECE"/>
    <w:rsid w:val="005C3F32"/>
    <w:rsid w:val="005C4227"/>
    <w:rsid w:val="005C4268"/>
    <w:rsid w:val="005C4559"/>
    <w:rsid w:val="005C4599"/>
    <w:rsid w:val="005C4A22"/>
    <w:rsid w:val="005C540E"/>
    <w:rsid w:val="005C55E7"/>
    <w:rsid w:val="005C56AA"/>
    <w:rsid w:val="005C5851"/>
    <w:rsid w:val="005C5BFF"/>
    <w:rsid w:val="005C5C25"/>
    <w:rsid w:val="005C5DA7"/>
    <w:rsid w:val="005C5F2C"/>
    <w:rsid w:val="005C60D2"/>
    <w:rsid w:val="005C6342"/>
    <w:rsid w:val="005C6478"/>
    <w:rsid w:val="005C64BE"/>
    <w:rsid w:val="005C6847"/>
    <w:rsid w:val="005C6A42"/>
    <w:rsid w:val="005C6B28"/>
    <w:rsid w:val="005C7014"/>
    <w:rsid w:val="005C7028"/>
    <w:rsid w:val="005C7048"/>
    <w:rsid w:val="005C7079"/>
    <w:rsid w:val="005C710F"/>
    <w:rsid w:val="005C7431"/>
    <w:rsid w:val="005C7440"/>
    <w:rsid w:val="005C7B63"/>
    <w:rsid w:val="005C7B8E"/>
    <w:rsid w:val="005C7EA7"/>
    <w:rsid w:val="005C7F94"/>
    <w:rsid w:val="005D02A5"/>
    <w:rsid w:val="005D06A5"/>
    <w:rsid w:val="005D06E3"/>
    <w:rsid w:val="005D07DE"/>
    <w:rsid w:val="005D0B01"/>
    <w:rsid w:val="005D1017"/>
    <w:rsid w:val="005D137A"/>
    <w:rsid w:val="005D1406"/>
    <w:rsid w:val="005D1642"/>
    <w:rsid w:val="005D1AEB"/>
    <w:rsid w:val="005D1B1C"/>
    <w:rsid w:val="005D1D05"/>
    <w:rsid w:val="005D21EA"/>
    <w:rsid w:val="005D252E"/>
    <w:rsid w:val="005D25A4"/>
    <w:rsid w:val="005D2A3F"/>
    <w:rsid w:val="005D3258"/>
    <w:rsid w:val="005D3298"/>
    <w:rsid w:val="005D348D"/>
    <w:rsid w:val="005D3B1E"/>
    <w:rsid w:val="005D4207"/>
    <w:rsid w:val="005D4294"/>
    <w:rsid w:val="005D47F3"/>
    <w:rsid w:val="005D48FB"/>
    <w:rsid w:val="005D4A48"/>
    <w:rsid w:val="005D4BCD"/>
    <w:rsid w:val="005D4E56"/>
    <w:rsid w:val="005D5257"/>
    <w:rsid w:val="005D53FA"/>
    <w:rsid w:val="005D5708"/>
    <w:rsid w:val="005D5B53"/>
    <w:rsid w:val="005D5B87"/>
    <w:rsid w:val="005D6059"/>
    <w:rsid w:val="005D616B"/>
    <w:rsid w:val="005D629C"/>
    <w:rsid w:val="005D63A2"/>
    <w:rsid w:val="005D683B"/>
    <w:rsid w:val="005D703C"/>
    <w:rsid w:val="005D7625"/>
    <w:rsid w:val="005D78B4"/>
    <w:rsid w:val="005D79DF"/>
    <w:rsid w:val="005D7B37"/>
    <w:rsid w:val="005D7C24"/>
    <w:rsid w:val="005D7CCE"/>
    <w:rsid w:val="005D7E82"/>
    <w:rsid w:val="005E03A5"/>
    <w:rsid w:val="005E099F"/>
    <w:rsid w:val="005E0C74"/>
    <w:rsid w:val="005E10AB"/>
    <w:rsid w:val="005E116B"/>
    <w:rsid w:val="005E1285"/>
    <w:rsid w:val="005E12B4"/>
    <w:rsid w:val="005E13A3"/>
    <w:rsid w:val="005E1505"/>
    <w:rsid w:val="005E1A2D"/>
    <w:rsid w:val="005E1AE5"/>
    <w:rsid w:val="005E1D6E"/>
    <w:rsid w:val="005E1F60"/>
    <w:rsid w:val="005E280C"/>
    <w:rsid w:val="005E2FE1"/>
    <w:rsid w:val="005E31E3"/>
    <w:rsid w:val="005E3264"/>
    <w:rsid w:val="005E334E"/>
    <w:rsid w:val="005E3476"/>
    <w:rsid w:val="005E3496"/>
    <w:rsid w:val="005E3AA7"/>
    <w:rsid w:val="005E3C9D"/>
    <w:rsid w:val="005E3CAE"/>
    <w:rsid w:val="005E4EE6"/>
    <w:rsid w:val="005E5040"/>
    <w:rsid w:val="005E50A2"/>
    <w:rsid w:val="005E531F"/>
    <w:rsid w:val="005E54CE"/>
    <w:rsid w:val="005E5535"/>
    <w:rsid w:val="005E5715"/>
    <w:rsid w:val="005E5828"/>
    <w:rsid w:val="005E59B4"/>
    <w:rsid w:val="005E5AA0"/>
    <w:rsid w:val="005E5BFA"/>
    <w:rsid w:val="005E5D28"/>
    <w:rsid w:val="005E6259"/>
    <w:rsid w:val="005E6520"/>
    <w:rsid w:val="005E6963"/>
    <w:rsid w:val="005E6BAB"/>
    <w:rsid w:val="005E6CA8"/>
    <w:rsid w:val="005E6ECC"/>
    <w:rsid w:val="005E7266"/>
    <w:rsid w:val="005E7302"/>
    <w:rsid w:val="005E74F2"/>
    <w:rsid w:val="005E7851"/>
    <w:rsid w:val="005E785F"/>
    <w:rsid w:val="005E7C52"/>
    <w:rsid w:val="005F0083"/>
    <w:rsid w:val="005F0110"/>
    <w:rsid w:val="005F01C8"/>
    <w:rsid w:val="005F03A0"/>
    <w:rsid w:val="005F0450"/>
    <w:rsid w:val="005F0488"/>
    <w:rsid w:val="005F0823"/>
    <w:rsid w:val="005F0D4E"/>
    <w:rsid w:val="005F1035"/>
    <w:rsid w:val="005F12B5"/>
    <w:rsid w:val="005F1977"/>
    <w:rsid w:val="005F1F8D"/>
    <w:rsid w:val="005F1F95"/>
    <w:rsid w:val="005F202C"/>
    <w:rsid w:val="005F2666"/>
    <w:rsid w:val="005F28B1"/>
    <w:rsid w:val="005F2A5B"/>
    <w:rsid w:val="005F2CE0"/>
    <w:rsid w:val="005F2E39"/>
    <w:rsid w:val="005F2EAD"/>
    <w:rsid w:val="005F2F1B"/>
    <w:rsid w:val="005F3228"/>
    <w:rsid w:val="005F332E"/>
    <w:rsid w:val="005F37DF"/>
    <w:rsid w:val="005F383B"/>
    <w:rsid w:val="005F38F2"/>
    <w:rsid w:val="005F3B32"/>
    <w:rsid w:val="005F3D94"/>
    <w:rsid w:val="005F3E06"/>
    <w:rsid w:val="005F3F1E"/>
    <w:rsid w:val="005F40D5"/>
    <w:rsid w:val="005F424C"/>
    <w:rsid w:val="005F4B74"/>
    <w:rsid w:val="005F4D45"/>
    <w:rsid w:val="005F4EAD"/>
    <w:rsid w:val="005F4F86"/>
    <w:rsid w:val="005F5069"/>
    <w:rsid w:val="005F5836"/>
    <w:rsid w:val="005F58D4"/>
    <w:rsid w:val="005F5AED"/>
    <w:rsid w:val="005F5D7E"/>
    <w:rsid w:val="005F6025"/>
    <w:rsid w:val="005F6215"/>
    <w:rsid w:val="005F62DC"/>
    <w:rsid w:val="005F648F"/>
    <w:rsid w:val="005F64FE"/>
    <w:rsid w:val="005F683A"/>
    <w:rsid w:val="005F6A6B"/>
    <w:rsid w:val="005F6AAA"/>
    <w:rsid w:val="005F6E6F"/>
    <w:rsid w:val="005F6F2A"/>
    <w:rsid w:val="005F732D"/>
    <w:rsid w:val="005F756D"/>
    <w:rsid w:val="005F75B6"/>
    <w:rsid w:val="005F77AC"/>
    <w:rsid w:val="005F77B5"/>
    <w:rsid w:val="005F7937"/>
    <w:rsid w:val="005F7A49"/>
    <w:rsid w:val="005F7ADE"/>
    <w:rsid w:val="005F7B82"/>
    <w:rsid w:val="00600311"/>
    <w:rsid w:val="0060052E"/>
    <w:rsid w:val="006008A5"/>
    <w:rsid w:val="006009D2"/>
    <w:rsid w:val="00600B7D"/>
    <w:rsid w:val="00600C5F"/>
    <w:rsid w:val="00600D8D"/>
    <w:rsid w:val="00600FAF"/>
    <w:rsid w:val="00600FCC"/>
    <w:rsid w:val="006016FE"/>
    <w:rsid w:val="0060180B"/>
    <w:rsid w:val="00601B3A"/>
    <w:rsid w:val="00601DFC"/>
    <w:rsid w:val="00601E77"/>
    <w:rsid w:val="00601E90"/>
    <w:rsid w:val="00601F6B"/>
    <w:rsid w:val="00601F72"/>
    <w:rsid w:val="0060205F"/>
    <w:rsid w:val="0060229C"/>
    <w:rsid w:val="00602505"/>
    <w:rsid w:val="0060256E"/>
    <w:rsid w:val="00602889"/>
    <w:rsid w:val="00602C29"/>
    <w:rsid w:val="0060310D"/>
    <w:rsid w:val="006033B5"/>
    <w:rsid w:val="0060350D"/>
    <w:rsid w:val="006037D1"/>
    <w:rsid w:val="00603A56"/>
    <w:rsid w:val="00603DF4"/>
    <w:rsid w:val="00603E43"/>
    <w:rsid w:val="00604053"/>
    <w:rsid w:val="00604303"/>
    <w:rsid w:val="006044C7"/>
    <w:rsid w:val="00604671"/>
    <w:rsid w:val="00604696"/>
    <w:rsid w:val="00604855"/>
    <w:rsid w:val="006048C3"/>
    <w:rsid w:val="00604996"/>
    <w:rsid w:val="0060508D"/>
    <w:rsid w:val="0060520B"/>
    <w:rsid w:val="0060549B"/>
    <w:rsid w:val="00605A9D"/>
    <w:rsid w:val="00605C87"/>
    <w:rsid w:val="00605D89"/>
    <w:rsid w:val="00605DBE"/>
    <w:rsid w:val="00605E77"/>
    <w:rsid w:val="00605FD3"/>
    <w:rsid w:val="00606114"/>
    <w:rsid w:val="00606401"/>
    <w:rsid w:val="00606486"/>
    <w:rsid w:val="00606731"/>
    <w:rsid w:val="00606C29"/>
    <w:rsid w:val="00606C46"/>
    <w:rsid w:val="00606CCD"/>
    <w:rsid w:val="00606DB8"/>
    <w:rsid w:val="00606DCD"/>
    <w:rsid w:val="00607414"/>
    <w:rsid w:val="00607551"/>
    <w:rsid w:val="00607769"/>
    <w:rsid w:val="00607844"/>
    <w:rsid w:val="006078FC"/>
    <w:rsid w:val="006079E3"/>
    <w:rsid w:val="00607ACC"/>
    <w:rsid w:val="00607CE6"/>
    <w:rsid w:val="00607F64"/>
    <w:rsid w:val="00610111"/>
    <w:rsid w:val="00610160"/>
    <w:rsid w:val="00610211"/>
    <w:rsid w:val="00610231"/>
    <w:rsid w:val="00610B00"/>
    <w:rsid w:val="00610E2E"/>
    <w:rsid w:val="0061148F"/>
    <w:rsid w:val="00611D91"/>
    <w:rsid w:val="00612618"/>
    <w:rsid w:val="0061276D"/>
    <w:rsid w:val="00612A7E"/>
    <w:rsid w:val="00612ABB"/>
    <w:rsid w:val="00612BF1"/>
    <w:rsid w:val="00612E36"/>
    <w:rsid w:val="00612FD5"/>
    <w:rsid w:val="006130B7"/>
    <w:rsid w:val="00613472"/>
    <w:rsid w:val="0061392E"/>
    <w:rsid w:val="00613BA3"/>
    <w:rsid w:val="00613CFE"/>
    <w:rsid w:val="00613F53"/>
    <w:rsid w:val="0061413B"/>
    <w:rsid w:val="00614172"/>
    <w:rsid w:val="00614391"/>
    <w:rsid w:val="006143DD"/>
    <w:rsid w:val="00614AA5"/>
    <w:rsid w:val="00614D2F"/>
    <w:rsid w:val="0061500A"/>
    <w:rsid w:val="006156B8"/>
    <w:rsid w:val="00615C18"/>
    <w:rsid w:val="0061625E"/>
    <w:rsid w:val="006163DC"/>
    <w:rsid w:val="006168FF"/>
    <w:rsid w:val="00616940"/>
    <w:rsid w:val="00616A74"/>
    <w:rsid w:val="00616BA3"/>
    <w:rsid w:val="00617152"/>
    <w:rsid w:val="006171FE"/>
    <w:rsid w:val="0061725D"/>
    <w:rsid w:val="006175D1"/>
    <w:rsid w:val="006175F9"/>
    <w:rsid w:val="006177EA"/>
    <w:rsid w:val="0061794E"/>
    <w:rsid w:val="006179EE"/>
    <w:rsid w:val="00617B5B"/>
    <w:rsid w:val="00617EE9"/>
    <w:rsid w:val="00620326"/>
    <w:rsid w:val="006209EA"/>
    <w:rsid w:val="00620A00"/>
    <w:rsid w:val="00620B1F"/>
    <w:rsid w:val="00620C60"/>
    <w:rsid w:val="0062113F"/>
    <w:rsid w:val="006211BF"/>
    <w:rsid w:val="006211FF"/>
    <w:rsid w:val="006213C0"/>
    <w:rsid w:val="0062175E"/>
    <w:rsid w:val="00621846"/>
    <w:rsid w:val="00621F35"/>
    <w:rsid w:val="00622047"/>
    <w:rsid w:val="0062252E"/>
    <w:rsid w:val="00622BB6"/>
    <w:rsid w:val="00622C21"/>
    <w:rsid w:val="00622FF9"/>
    <w:rsid w:val="006234D6"/>
    <w:rsid w:val="0062366E"/>
    <w:rsid w:val="00623B02"/>
    <w:rsid w:val="00623B2B"/>
    <w:rsid w:val="00623EC7"/>
    <w:rsid w:val="0062416C"/>
    <w:rsid w:val="0062435B"/>
    <w:rsid w:val="006245C0"/>
    <w:rsid w:val="006245F0"/>
    <w:rsid w:val="00624A80"/>
    <w:rsid w:val="00624C51"/>
    <w:rsid w:val="00624E16"/>
    <w:rsid w:val="00624E64"/>
    <w:rsid w:val="00625651"/>
    <w:rsid w:val="00625823"/>
    <w:rsid w:val="006258C3"/>
    <w:rsid w:val="00625C00"/>
    <w:rsid w:val="00625F35"/>
    <w:rsid w:val="006263BA"/>
    <w:rsid w:val="00626497"/>
    <w:rsid w:val="00626BC2"/>
    <w:rsid w:val="00626C0B"/>
    <w:rsid w:val="00626DBB"/>
    <w:rsid w:val="00626E54"/>
    <w:rsid w:val="00626F01"/>
    <w:rsid w:val="0062711F"/>
    <w:rsid w:val="006271DC"/>
    <w:rsid w:val="006272A0"/>
    <w:rsid w:val="006277E5"/>
    <w:rsid w:val="00627C56"/>
    <w:rsid w:val="00630159"/>
    <w:rsid w:val="006302BF"/>
    <w:rsid w:val="00630605"/>
    <w:rsid w:val="0063084F"/>
    <w:rsid w:val="006309A2"/>
    <w:rsid w:val="0063146E"/>
    <w:rsid w:val="0063155C"/>
    <w:rsid w:val="006315BC"/>
    <w:rsid w:val="00631D88"/>
    <w:rsid w:val="00631DCB"/>
    <w:rsid w:val="00632469"/>
    <w:rsid w:val="0063258F"/>
    <w:rsid w:val="00632604"/>
    <w:rsid w:val="006327A8"/>
    <w:rsid w:val="00632E59"/>
    <w:rsid w:val="00633046"/>
    <w:rsid w:val="006339DB"/>
    <w:rsid w:val="00633CB0"/>
    <w:rsid w:val="006341CC"/>
    <w:rsid w:val="00634233"/>
    <w:rsid w:val="00634240"/>
    <w:rsid w:val="006342FC"/>
    <w:rsid w:val="006344FD"/>
    <w:rsid w:val="0063469F"/>
    <w:rsid w:val="00634751"/>
    <w:rsid w:val="00634F1E"/>
    <w:rsid w:val="006350D1"/>
    <w:rsid w:val="00635238"/>
    <w:rsid w:val="006354BD"/>
    <w:rsid w:val="0063579D"/>
    <w:rsid w:val="006361BA"/>
    <w:rsid w:val="00636640"/>
    <w:rsid w:val="00636721"/>
    <w:rsid w:val="0063675D"/>
    <w:rsid w:val="00636964"/>
    <w:rsid w:val="00636C3B"/>
    <w:rsid w:val="00636D9C"/>
    <w:rsid w:val="00636DF1"/>
    <w:rsid w:val="00636E2B"/>
    <w:rsid w:val="0063743A"/>
    <w:rsid w:val="00637513"/>
    <w:rsid w:val="006378D3"/>
    <w:rsid w:val="00637D4F"/>
    <w:rsid w:val="006400DC"/>
    <w:rsid w:val="0064012E"/>
    <w:rsid w:val="0064024B"/>
    <w:rsid w:val="0064087A"/>
    <w:rsid w:val="0064091E"/>
    <w:rsid w:val="006409D1"/>
    <w:rsid w:val="00640CD5"/>
    <w:rsid w:val="0064123A"/>
    <w:rsid w:val="00641805"/>
    <w:rsid w:val="006419C1"/>
    <w:rsid w:val="00641B30"/>
    <w:rsid w:val="00641C47"/>
    <w:rsid w:val="00641D97"/>
    <w:rsid w:val="00641DFD"/>
    <w:rsid w:val="006423FC"/>
    <w:rsid w:val="0064243F"/>
    <w:rsid w:val="006425CD"/>
    <w:rsid w:val="0064271C"/>
    <w:rsid w:val="006429C8"/>
    <w:rsid w:val="00642BE2"/>
    <w:rsid w:val="00643234"/>
    <w:rsid w:val="00643387"/>
    <w:rsid w:val="00643556"/>
    <w:rsid w:val="00643883"/>
    <w:rsid w:val="00643909"/>
    <w:rsid w:val="00643BE2"/>
    <w:rsid w:val="00643D00"/>
    <w:rsid w:val="00643D0B"/>
    <w:rsid w:val="0064449B"/>
    <w:rsid w:val="0064468B"/>
    <w:rsid w:val="006447D2"/>
    <w:rsid w:val="0064594B"/>
    <w:rsid w:val="00645BB0"/>
    <w:rsid w:val="00645CB4"/>
    <w:rsid w:val="00645DC3"/>
    <w:rsid w:val="00645DC4"/>
    <w:rsid w:val="00646506"/>
    <w:rsid w:val="006465F7"/>
    <w:rsid w:val="0064663C"/>
    <w:rsid w:val="0064688A"/>
    <w:rsid w:val="006469B5"/>
    <w:rsid w:val="00647411"/>
    <w:rsid w:val="00647760"/>
    <w:rsid w:val="00647913"/>
    <w:rsid w:val="00647CF8"/>
    <w:rsid w:val="00647DE6"/>
    <w:rsid w:val="00647E77"/>
    <w:rsid w:val="006505B5"/>
    <w:rsid w:val="0065082F"/>
    <w:rsid w:val="00650978"/>
    <w:rsid w:val="00650A8F"/>
    <w:rsid w:val="00650ADF"/>
    <w:rsid w:val="00650AF8"/>
    <w:rsid w:val="0065118C"/>
    <w:rsid w:val="00651281"/>
    <w:rsid w:val="00651929"/>
    <w:rsid w:val="00651BF6"/>
    <w:rsid w:val="00651DAF"/>
    <w:rsid w:val="00651F6D"/>
    <w:rsid w:val="00652349"/>
    <w:rsid w:val="006524FC"/>
    <w:rsid w:val="0065287A"/>
    <w:rsid w:val="00653016"/>
    <w:rsid w:val="0065324B"/>
    <w:rsid w:val="00653261"/>
    <w:rsid w:val="00653627"/>
    <w:rsid w:val="00653697"/>
    <w:rsid w:val="006536B9"/>
    <w:rsid w:val="00653705"/>
    <w:rsid w:val="006537DD"/>
    <w:rsid w:val="0065385B"/>
    <w:rsid w:val="006538E7"/>
    <w:rsid w:val="00653FCB"/>
    <w:rsid w:val="006540DD"/>
    <w:rsid w:val="00654481"/>
    <w:rsid w:val="00654930"/>
    <w:rsid w:val="00654AEF"/>
    <w:rsid w:val="00654E19"/>
    <w:rsid w:val="00655208"/>
    <w:rsid w:val="0065550E"/>
    <w:rsid w:val="006555C3"/>
    <w:rsid w:val="006557E1"/>
    <w:rsid w:val="0065589E"/>
    <w:rsid w:val="00655D22"/>
    <w:rsid w:val="00655ECD"/>
    <w:rsid w:val="0065612C"/>
    <w:rsid w:val="0065617F"/>
    <w:rsid w:val="00656207"/>
    <w:rsid w:val="006563DC"/>
    <w:rsid w:val="00656C0A"/>
    <w:rsid w:val="00656D15"/>
    <w:rsid w:val="00656F3E"/>
    <w:rsid w:val="00656F98"/>
    <w:rsid w:val="006571E0"/>
    <w:rsid w:val="006572A5"/>
    <w:rsid w:val="00657353"/>
    <w:rsid w:val="0065742B"/>
    <w:rsid w:val="0065743C"/>
    <w:rsid w:val="00657899"/>
    <w:rsid w:val="00657E0F"/>
    <w:rsid w:val="00657EB7"/>
    <w:rsid w:val="00660089"/>
    <w:rsid w:val="00660173"/>
    <w:rsid w:val="0066053D"/>
    <w:rsid w:val="00660831"/>
    <w:rsid w:val="00660908"/>
    <w:rsid w:val="00660C74"/>
    <w:rsid w:val="006610C2"/>
    <w:rsid w:val="0066126B"/>
    <w:rsid w:val="00661435"/>
    <w:rsid w:val="00661DAA"/>
    <w:rsid w:val="0066240B"/>
    <w:rsid w:val="006629D8"/>
    <w:rsid w:val="00662AE4"/>
    <w:rsid w:val="00662E18"/>
    <w:rsid w:val="00662EDB"/>
    <w:rsid w:val="00662FA7"/>
    <w:rsid w:val="0066314F"/>
    <w:rsid w:val="0066344E"/>
    <w:rsid w:val="00663461"/>
    <w:rsid w:val="006637CE"/>
    <w:rsid w:val="00663B67"/>
    <w:rsid w:val="0066406B"/>
    <w:rsid w:val="006642C6"/>
    <w:rsid w:val="0066432A"/>
    <w:rsid w:val="006644DC"/>
    <w:rsid w:val="006649A5"/>
    <w:rsid w:val="00664C15"/>
    <w:rsid w:val="00664DC8"/>
    <w:rsid w:val="00665273"/>
    <w:rsid w:val="0066539B"/>
    <w:rsid w:val="006655D0"/>
    <w:rsid w:val="006657FD"/>
    <w:rsid w:val="00665836"/>
    <w:rsid w:val="0066598F"/>
    <w:rsid w:val="00665DDD"/>
    <w:rsid w:val="006663ED"/>
    <w:rsid w:val="00666675"/>
    <w:rsid w:val="00666818"/>
    <w:rsid w:val="006668B2"/>
    <w:rsid w:val="00666A13"/>
    <w:rsid w:val="00666AD5"/>
    <w:rsid w:val="00666D0F"/>
    <w:rsid w:val="00666DD6"/>
    <w:rsid w:val="006673CC"/>
    <w:rsid w:val="006673D3"/>
    <w:rsid w:val="00667D0E"/>
    <w:rsid w:val="00670192"/>
    <w:rsid w:val="006704A9"/>
    <w:rsid w:val="0067062C"/>
    <w:rsid w:val="0067075D"/>
    <w:rsid w:val="00670866"/>
    <w:rsid w:val="00670A83"/>
    <w:rsid w:val="00670D80"/>
    <w:rsid w:val="00671014"/>
    <w:rsid w:val="00671913"/>
    <w:rsid w:val="00671F39"/>
    <w:rsid w:val="00672772"/>
    <w:rsid w:val="00672A51"/>
    <w:rsid w:val="00672A8B"/>
    <w:rsid w:val="00672B47"/>
    <w:rsid w:val="00673079"/>
    <w:rsid w:val="006730F4"/>
    <w:rsid w:val="006734B8"/>
    <w:rsid w:val="006734E1"/>
    <w:rsid w:val="00673683"/>
    <w:rsid w:val="00673BC7"/>
    <w:rsid w:val="00673F97"/>
    <w:rsid w:val="006740B2"/>
    <w:rsid w:val="0067416D"/>
    <w:rsid w:val="006741C5"/>
    <w:rsid w:val="006742B6"/>
    <w:rsid w:val="006747FC"/>
    <w:rsid w:val="00674826"/>
    <w:rsid w:val="00674879"/>
    <w:rsid w:val="00674971"/>
    <w:rsid w:val="00674B2E"/>
    <w:rsid w:val="00674F78"/>
    <w:rsid w:val="006750EE"/>
    <w:rsid w:val="0067529A"/>
    <w:rsid w:val="006753EB"/>
    <w:rsid w:val="00675420"/>
    <w:rsid w:val="006756CC"/>
    <w:rsid w:val="00675752"/>
    <w:rsid w:val="00675805"/>
    <w:rsid w:val="00675FF5"/>
    <w:rsid w:val="00676053"/>
    <w:rsid w:val="00676358"/>
    <w:rsid w:val="00676529"/>
    <w:rsid w:val="006765D1"/>
    <w:rsid w:val="0067663D"/>
    <w:rsid w:val="00676681"/>
    <w:rsid w:val="006767DC"/>
    <w:rsid w:val="00676EA2"/>
    <w:rsid w:val="006772CA"/>
    <w:rsid w:val="00677365"/>
    <w:rsid w:val="00677371"/>
    <w:rsid w:val="0067759E"/>
    <w:rsid w:val="006776D3"/>
    <w:rsid w:val="00677A95"/>
    <w:rsid w:val="00677B0A"/>
    <w:rsid w:val="00677E68"/>
    <w:rsid w:val="00677E74"/>
    <w:rsid w:val="00677EA1"/>
    <w:rsid w:val="006805F9"/>
    <w:rsid w:val="0068078F"/>
    <w:rsid w:val="006807A9"/>
    <w:rsid w:val="006808F6"/>
    <w:rsid w:val="00680973"/>
    <w:rsid w:val="00680A2E"/>
    <w:rsid w:val="00680B99"/>
    <w:rsid w:val="00680D13"/>
    <w:rsid w:val="00680D60"/>
    <w:rsid w:val="00680E79"/>
    <w:rsid w:val="00680E8B"/>
    <w:rsid w:val="00680E91"/>
    <w:rsid w:val="00680F7E"/>
    <w:rsid w:val="00681764"/>
    <w:rsid w:val="0068179A"/>
    <w:rsid w:val="00681B8C"/>
    <w:rsid w:val="00681E00"/>
    <w:rsid w:val="006821E9"/>
    <w:rsid w:val="0068227E"/>
    <w:rsid w:val="00682608"/>
    <w:rsid w:val="00682649"/>
    <w:rsid w:val="00682D82"/>
    <w:rsid w:val="00682F91"/>
    <w:rsid w:val="00683718"/>
    <w:rsid w:val="00683721"/>
    <w:rsid w:val="006837C7"/>
    <w:rsid w:val="00683913"/>
    <w:rsid w:val="0068397E"/>
    <w:rsid w:val="00683993"/>
    <w:rsid w:val="00683A35"/>
    <w:rsid w:val="00683A48"/>
    <w:rsid w:val="00683C4D"/>
    <w:rsid w:val="006842BC"/>
    <w:rsid w:val="00684500"/>
    <w:rsid w:val="00684889"/>
    <w:rsid w:val="00684A9D"/>
    <w:rsid w:val="00684AC1"/>
    <w:rsid w:val="00684B0D"/>
    <w:rsid w:val="006851CB"/>
    <w:rsid w:val="006855A0"/>
    <w:rsid w:val="00685A7F"/>
    <w:rsid w:val="00685C1B"/>
    <w:rsid w:val="0068613D"/>
    <w:rsid w:val="006861C7"/>
    <w:rsid w:val="00686206"/>
    <w:rsid w:val="006862EC"/>
    <w:rsid w:val="0068650A"/>
    <w:rsid w:val="00686530"/>
    <w:rsid w:val="00686792"/>
    <w:rsid w:val="00686B6D"/>
    <w:rsid w:val="00686C94"/>
    <w:rsid w:val="00686E44"/>
    <w:rsid w:val="00686FD9"/>
    <w:rsid w:val="006872C4"/>
    <w:rsid w:val="00687329"/>
    <w:rsid w:val="0068752F"/>
    <w:rsid w:val="006875D3"/>
    <w:rsid w:val="00687A20"/>
    <w:rsid w:val="00687A2B"/>
    <w:rsid w:val="00687C89"/>
    <w:rsid w:val="00690193"/>
    <w:rsid w:val="0069046C"/>
    <w:rsid w:val="006905E1"/>
    <w:rsid w:val="0069068F"/>
    <w:rsid w:val="0069073B"/>
    <w:rsid w:val="00690AB4"/>
    <w:rsid w:val="006910A8"/>
    <w:rsid w:val="00691A75"/>
    <w:rsid w:val="00691B73"/>
    <w:rsid w:val="00691BF3"/>
    <w:rsid w:val="00691E1A"/>
    <w:rsid w:val="00691E3A"/>
    <w:rsid w:val="00691E62"/>
    <w:rsid w:val="00691EA3"/>
    <w:rsid w:val="00692068"/>
    <w:rsid w:val="0069214A"/>
    <w:rsid w:val="006921A8"/>
    <w:rsid w:val="00692319"/>
    <w:rsid w:val="006923A0"/>
    <w:rsid w:val="006923FC"/>
    <w:rsid w:val="006925E7"/>
    <w:rsid w:val="00692649"/>
    <w:rsid w:val="00692690"/>
    <w:rsid w:val="0069357E"/>
    <w:rsid w:val="006935D8"/>
    <w:rsid w:val="006935E9"/>
    <w:rsid w:val="00693772"/>
    <w:rsid w:val="0069388E"/>
    <w:rsid w:val="006938A2"/>
    <w:rsid w:val="00693952"/>
    <w:rsid w:val="00694479"/>
    <w:rsid w:val="006944C9"/>
    <w:rsid w:val="00694716"/>
    <w:rsid w:val="00694806"/>
    <w:rsid w:val="006949BF"/>
    <w:rsid w:val="00694FAA"/>
    <w:rsid w:val="006951C3"/>
    <w:rsid w:val="006952EA"/>
    <w:rsid w:val="0069571A"/>
    <w:rsid w:val="00695A9D"/>
    <w:rsid w:val="00695C93"/>
    <w:rsid w:val="006960DF"/>
    <w:rsid w:val="0069622D"/>
    <w:rsid w:val="006962BB"/>
    <w:rsid w:val="00696E8D"/>
    <w:rsid w:val="0069741B"/>
    <w:rsid w:val="0069790B"/>
    <w:rsid w:val="00697A34"/>
    <w:rsid w:val="00697B63"/>
    <w:rsid w:val="00697DB1"/>
    <w:rsid w:val="006A03CC"/>
    <w:rsid w:val="006A0B84"/>
    <w:rsid w:val="006A0C6C"/>
    <w:rsid w:val="006A1125"/>
    <w:rsid w:val="006A1144"/>
    <w:rsid w:val="006A169A"/>
    <w:rsid w:val="006A19FF"/>
    <w:rsid w:val="006A1A35"/>
    <w:rsid w:val="006A2163"/>
    <w:rsid w:val="006A233C"/>
    <w:rsid w:val="006A2A95"/>
    <w:rsid w:val="006A2B41"/>
    <w:rsid w:val="006A2CDB"/>
    <w:rsid w:val="006A2FF1"/>
    <w:rsid w:val="006A3293"/>
    <w:rsid w:val="006A32CD"/>
    <w:rsid w:val="006A3466"/>
    <w:rsid w:val="006A37A9"/>
    <w:rsid w:val="006A3B84"/>
    <w:rsid w:val="006A3DC6"/>
    <w:rsid w:val="006A404B"/>
    <w:rsid w:val="006A43DE"/>
    <w:rsid w:val="006A44E1"/>
    <w:rsid w:val="006A4816"/>
    <w:rsid w:val="006A4B03"/>
    <w:rsid w:val="006A4F8C"/>
    <w:rsid w:val="006A505A"/>
    <w:rsid w:val="006A51B0"/>
    <w:rsid w:val="006A539B"/>
    <w:rsid w:val="006A5737"/>
    <w:rsid w:val="006A575C"/>
    <w:rsid w:val="006A5989"/>
    <w:rsid w:val="006A5994"/>
    <w:rsid w:val="006A59C4"/>
    <w:rsid w:val="006A5AFF"/>
    <w:rsid w:val="006A5C40"/>
    <w:rsid w:val="006A64C2"/>
    <w:rsid w:val="006A6CF4"/>
    <w:rsid w:val="006A6D72"/>
    <w:rsid w:val="006A6F9F"/>
    <w:rsid w:val="006A7166"/>
    <w:rsid w:val="006A72F8"/>
    <w:rsid w:val="006A7567"/>
    <w:rsid w:val="006A7F3B"/>
    <w:rsid w:val="006B0197"/>
    <w:rsid w:val="006B0560"/>
    <w:rsid w:val="006B0668"/>
    <w:rsid w:val="006B0A5A"/>
    <w:rsid w:val="006B0C80"/>
    <w:rsid w:val="006B1301"/>
    <w:rsid w:val="006B136D"/>
    <w:rsid w:val="006B16A8"/>
    <w:rsid w:val="006B195A"/>
    <w:rsid w:val="006B1996"/>
    <w:rsid w:val="006B1AB4"/>
    <w:rsid w:val="006B1DF7"/>
    <w:rsid w:val="006B1F9D"/>
    <w:rsid w:val="006B200F"/>
    <w:rsid w:val="006B28C3"/>
    <w:rsid w:val="006B2992"/>
    <w:rsid w:val="006B2A6B"/>
    <w:rsid w:val="006B2C10"/>
    <w:rsid w:val="006B2FAE"/>
    <w:rsid w:val="006B33AE"/>
    <w:rsid w:val="006B35E1"/>
    <w:rsid w:val="006B3ADE"/>
    <w:rsid w:val="006B3C32"/>
    <w:rsid w:val="006B3E23"/>
    <w:rsid w:val="006B3E80"/>
    <w:rsid w:val="006B3E89"/>
    <w:rsid w:val="006B451E"/>
    <w:rsid w:val="006B4706"/>
    <w:rsid w:val="006B4C8F"/>
    <w:rsid w:val="006B4CD8"/>
    <w:rsid w:val="006B4DC4"/>
    <w:rsid w:val="006B546E"/>
    <w:rsid w:val="006B55D8"/>
    <w:rsid w:val="006B568A"/>
    <w:rsid w:val="006B5786"/>
    <w:rsid w:val="006B59B3"/>
    <w:rsid w:val="006B5A76"/>
    <w:rsid w:val="006B6104"/>
    <w:rsid w:val="006B613A"/>
    <w:rsid w:val="006B66B4"/>
    <w:rsid w:val="006B685F"/>
    <w:rsid w:val="006B6A0D"/>
    <w:rsid w:val="006B6A1D"/>
    <w:rsid w:val="006B6AA9"/>
    <w:rsid w:val="006B6BC0"/>
    <w:rsid w:val="006B6C8C"/>
    <w:rsid w:val="006B6DF2"/>
    <w:rsid w:val="006B775B"/>
    <w:rsid w:val="006B776F"/>
    <w:rsid w:val="006B79F8"/>
    <w:rsid w:val="006B7A0D"/>
    <w:rsid w:val="006B7C2B"/>
    <w:rsid w:val="006B7F23"/>
    <w:rsid w:val="006C003D"/>
    <w:rsid w:val="006C016E"/>
    <w:rsid w:val="006C0785"/>
    <w:rsid w:val="006C0988"/>
    <w:rsid w:val="006C0E68"/>
    <w:rsid w:val="006C106F"/>
    <w:rsid w:val="006C1886"/>
    <w:rsid w:val="006C18CC"/>
    <w:rsid w:val="006C1A8F"/>
    <w:rsid w:val="006C1BD7"/>
    <w:rsid w:val="006C1F99"/>
    <w:rsid w:val="006C2095"/>
    <w:rsid w:val="006C217A"/>
    <w:rsid w:val="006C2239"/>
    <w:rsid w:val="006C22AD"/>
    <w:rsid w:val="006C22DC"/>
    <w:rsid w:val="006C255A"/>
    <w:rsid w:val="006C26AF"/>
    <w:rsid w:val="006C26EF"/>
    <w:rsid w:val="006C27AF"/>
    <w:rsid w:val="006C2E80"/>
    <w:rsid w:val="006C2F4B"/>
    <w:rsid w:val="006C33D8"/>
    <w:rsid w:val="006C3601"/>
    <w:rsid w:val="006C37C6"/>
    <w:rsid w:val="006C38CC"/>
    <w:rsid w:val="006C436A"/>
    <w:rsid w:val="006C44AF"/>
    <w:rsid w:val="006C4E14"/>
    <w:rsid w:val="006C4F0A"/>
    <w:rsid w:val="006C520D"/>
    <w:rsid w:val="006C57F0"/>
    <w:rsid w:val="006C58F4"/>
    <w:rsid w:val="006C5FD7"/>
    <w:rsid w:val="006C600D"/>
    <w:rsid w:val="006C6048"/>
    <w:rsid w:val="006C64A1"/>
    <w:rsid w:val="006C691C"/>
    <w:rsid w:val="006C69BC"/>
    <w:rsid w:val="006C69CA"/>
    <w:rsid w:val="006C6A14"/>
    <w:rsid w:val="006C76D0"/>
    <w:rsid w:val="006C76FA"/>
    <w:rsid w:val="006C787E"/>
    <w:rsid w:val="006C7992"/>
    <w:rsid w:val="006C7EEE"/>
    <w:rsid w:val="006C7F27"/>
    <w:rsid w:val="006D104E"/>
    <w:rsid w:val="006D12A5"/>
    <w:rsid w:val="006D15E1"/>
    <w:rsid w:val="006D16C9"/>
    <w:rsid w:val="006D1845"/>
    <w:rsid w:val="006D1924"/>
    <w:rsid w:val="006D19D4"/>
    <w:rsid w:val="006D1B6B"/>
    <w:rsid w:val="006D1F9D"/>
    <w:rsid w:val="006D201F"/>
    <w:rsid w:val="006D2142"/>
    <w:rsid w:val="006D263B"/>
    <w:rsid w:val="006D33D3"/>
    <w:rsid w:val="006D3451"/>
    <w:rsid w:val="006D348D"/>
    <w:rsid w:val="006D3547"/>
    <w:rsid w:val="006D36E9"/>
    <w:rsid w:val="006D37CF"/>
    <w:rsid w:val="006D3F5A"/>
    <w:rsid w:val="006D439E"/>
    <w:rsid w:val="006D4F1B"/>
    <w:rsid w:val="006D519C"/>
    <w:rsid w:val="006D5929"/>
    <w:rsid w:val="006D5B7D"/>
    <w:rsid w:val="006D5DA2"/>
    <w:rsid w:val="006D6060"/>
    <w:rsid w:val="006D6217"/>
    <w:rsid w:val="006D63A6"/>
    <w:rsid w:val="006D647E"/>
    <w:rsid w:val="006D68EF"/>
    <w:rsid w:val="006D698F"/>
    <w:rsid w:val="006D6B7C"/>
    <w:rsid w:val="006D6C39"/>
    <w:rsid w:val="006D736E"/>
    <w:rsid w:val="006D742E"/>
    <w:rsid w:val="006D7445"/>
    <w:rsid w:val="006D76ED"/>
    <w:rsid w:val="006D7C7A"/>
    <w:rsid w:val="006D7E1C"/>
    <w:rsid w:val="006D7F8D"/>
    <w:rsid w:val="006E0703"/>
    <w:rsid w:val="006E1018"/>
    <w:rsid w:val="006E1448"/>
    <w:rsid w:val="006E150B"/>
    <w:rsid w:val="006E16E9"/>
    <w:rsid w:val="006E198B"/>
    <w:rsid w:val="006E1B27"/>
    <w:rsid w:val="006E2488"/>
    <w:rsid w:val="006E2545"/>
    <w:rsid w:val="006E2839"/>
    <w:rsid w:val="006E2A96"/>
    <w:rsid w:val="006E2BE4"/>
    <w:rsid w:val="006E2E41"/>
    <w:rsid w:val="006E2E43"/>
    <w:rsid w:val="006E2F73"/>
    <w:rsid w:val="006E357D"/>
    <w:rsid w:val="006E3BA4"/>
    <w:rsid w:val="006E3D4D"/>
    <w:rsid w:val="006E3D5C"/>
    <w:rsid w:val="006E434E"/>
    <w:rsid w:val="006E46BF"/>
    <w:rsid w:val="006E47CC"/>
    <w:rsid w:val="006E4BD9"/>
    <w:rsid w:val="006E4D2B"/>
    <w:rsid w:val="006E4E06"/>
    <w:rsid w:val="006E50A8"/>
    <w:rsid w:val="006E5224"/>
    <w:rsid w:val="006E5383"/>
    <w:rsid w:val="006E5AC4"/>
    <w:rsid w:val="006E5D75"/>
    <w:rsid w:val="006E5E2D"/>
    <w:rsid w:val="006E5E46"/>
    <w:rsid w:val="006E5E6C"/>
    <w:rsid w:val="006E6177"/>
    <w:rsid w:val="006E6959"/>
    <w:rsid w:val="006E6D1F"/>
    <w:rsid w:val="006E6D9C"/>
    <w:rsid w:val="006E7955"/>
    <w:rsid w:val="006E7C75"/>
    <w:rsid w:val="006E7D9C"/>
    <w:rsid w:val="006F00D8"/>
    <w:rsid w:val="006F04D1"/>
    <w:rsid w:val="006F0A8D"/>
    <w:rsid w:val="006F0B6D"/>
    <w:rsid w:val="006F0C13"/>
    <w:rsid w:val="006F0CFE"/>
    <w:rsid w:val="006F0F14"/>
    <w:rsid w:val="006F1A87"/>
    <w:rsid w:val="006F1BF9"/>
    <w:rsid w:val="006F1CD3"/>
    <w:rsid w:val="006F1D52"/>
    <w:rsid w:val="006F1E8D"/>
    <w:rsid w:val="006F1EE4"/>
    <w:rsid w:val="006F2042"/>
    <w:rsid w:val="006F242D"/>
    <w:rsid w:val="006F2445"/>
    <w:rsid w:val="006F282D"/>
    <w:rsid w:val="006F2831"/>
    <w:rsid w:val="006F2C90"/>
    <w:rsid w:val="006F2DE7"/>
    <w:rsid w:val="006F2E1D"/>
    <w:rsid w:val="006F2E38"/>
    <w:rsid w:val="006F2F8D"/>
    <w:rsid w:val="006F3164"/>
    <w:rsid w:val="006F31D0"/>
    <w:rsid w:val="006F371B"/>
    <w:rsid w:val="006F37FF"/>
    <w:rsid w:val="006F3835"/>
    <w:rsid w:val="006F3945"/>
    <w:rsid w:val="006F3BA1"/>
    <w:rsid w:val="006F3BB7"/>
    <w:rsid w:val="006F3C00"/>
    <w:rsid w:val="006F427F"/>
    <w:rsid w:val="006F42B6"/>
    <w:rsid w:val="006F4CB2"/>
    <w:rsid w:val="006F4D41"/>
    <w:rsid w:val="006F5F0E"/>
    <w:rsid w:val="006F6721"/>
    <w:rsid w:val="006F68EB"/>
    <w:rsid w:val="006F6DA7"/>
    <w:rsid w:val="006F6DE2"/>
    <w:rsid w:val="006F79CD"/>
    <w:rsid w:val="006F7E6E"/>
    <w:rsid w:val="006F7F09"/>
    <w:rsid w:val="007001A6"/>
    <w:rsid w:val="00700271"/>
    <w:rsid w:val="00700483"/>
    <w:rsid w:val="007005E3"/>
    <w:rsid w:val="0070066A"/>
    <w:rsid w:val="00700680"/>
    <w:rsid w:val="007006EE"/>
    <w:rsid w:val="007008C7"/>
    <w:rsid w:val="00700939"/>
    <w:rsid w:val="00700D55"/>
    <w:rsid w:val="00700E0B"/>
    <w:rsid w:val="007013D4"/>
    <w:rsid w:val="0070192B"/>
    <w:rsid w:val="00701D78"/>
    <w:rsid w:val="00701F5D"/>
    <w:rsid w:val="00702496"/>
    <w:rsid w:val="00702863"/>
    <w:rsid w:val="00702BCD"/>
    <w:rsid w:val="00702E3A"/>
    <w:rsid w:val="00702EFF"/>
    <w:rsid w:val="00702F46"/>
    <w:rsid w:val="007031D6"/>
    <w:rsid w:val="00703A58"/>
    <w:rsid w:val="00703AA0"/>
    <w:rsid w:val="00703C1F"/>
    <w:rsid w:val="00703C6C"/>
    <w:rsid w:val="007040EC"/>
    <w:rsid w:val="00704134"/>
    <w:rsid w:val="00704296"/>
    <w:rsid w:val="007044A5"/>
    <w:rsid w:val="007047BF"/>
    <w:rsid w:val="00704827"/>
    <w:rsid w:val="007048E5"/>
    <w:rsid w:val="007049C4"/>
    <w:rsid w:val="00704B33"/>
    <w:rsid w:val="00704D83"/>
    <w:rsid w:val="00704F56"/>
    <w:rsid w:val="00704FA8"/>
    <w:rsid w:val="0070515C"/>
    <w:rsid w:val="00705570"/>
    <w:rsid w:val="007055DA"/>
    <w:rsid w:val="007055E0"/>
    <w:rsid w:val="007058A1"/>
    <w:rsid w:val="00705A69"/>
    <w:rsid w:val="00705AB3"/>
    <w:rsid w:val="00705D4C"/>
    <w:rsid w:val="00706370"/>
    <w:rsid w:val="0070657C"/>
    <w:rsid w:val="007065B5"/>
    <w:rsid w:val="007066C3"/>
    <w:rsid w:val="00706D07"/>
    <w:rsid w:val="00706EAC"/>
    <w:rsid w:val="00707192"/>
    <w:rsid w:val="0070750E"/>
    <w:rsid w:val="00707571"/>
    <w:rsid w:val="00707913"/>
    <w:rsid w:val="00707985"/>
    <w:rsid w:val="0071015B"/>
    <w:rsid w:val="00710272"/>
    <w:rsid w:val="00710275"/>
    <w:rsid w:val="00710446"/>
    <w:rsid w:val="00710B95"/>
    <w:rsid w:val="00710DAB"/>
    <w:rsid w:val="00711077"/>
    <w:rsid w:val="007110EF"/>
    <w:rsid w:val="0071132F"/>
    <w:rsid w:val="007113C2"/>
    <w:rsid w:val="00711405"/>
    <w:rsid w:val="00711613"/>
    <w:rsid w:val="0071178E"/>
    <w:rsid w:val="00711905"/>
    <w:rsid w:val="00711CD7"/>
    <w:rsid w:val="007121D6"/>
    <w:rsid w:val="0071252E"/>
    <w:rsid w:val="0071299C"/>
    <w:rsid w:val="00712B77"/>
    <w:rsid w:val="00712D0E"/>
    <w:rsid w:val="00713366"/>
    <w:rsid w:val="0071345A"/>
    <w:rsid w:val="0071347B"/>
    <w:rsid w:val="00713531"/>
    <w:rsid w:val="00713737"/>
    <w:rsid w:val="00714866"/>
    <w:rsid w:val="007148DC"/>
    <w:rsid w:val="00714C15"/>
    <w:rsid w:val="00714FAA"/>
    <w:rsid w:val="0071500A"/>
    <w:rsid w:val="00715169"/>
    <w:rsid w:val="00715902"/>
    <w:rsid w:val="00716505"/>
    <w:rsid w:val="007165C0"/>
    <w:rsid w:val="007165EE"/>
    <w:rsid w:val="007167CA"/>
    <w:rsid w:val="00716A07"/>
    <w:rsid w:val="00716EEE"/>
    <w:rsid w:val="00716FB8"/>
    <w:rsid w:val="0071726E"/>
    <w:rsid w:val="007176A4"/>
    <w:rsid w:val="0071783E"/>
    <w:rsid w:val="007179DC"/>
    <w:rsid w:val="00717AF7"/>
    <w:rsid w:val="00720133"/>
    <w:rsid w:val="00720381"/>
    <w:rsid w:val="00720415"/>
    <w:rsid w:val="007204E1"/>
    <w:rsid w:val="00720AA8"/>
    <w:rsid w:val="00720C60"/>
    <w:rsid w:val="00720D8D"/>
    <w:rsid w:val="007210A3"/>
    <w:rsid w:val="007210FC"/>
    <w:rsid w:val="0072122A"/>
    <w:rsid w:val="0072134F"/>
    <w:rsid w:val="00721582"/>
    <w:rsid w:val="00721703"/>
    <w:rsid w:val="00721892"/>
    <w:rsid w:val="00721FA6"/>
    <w:rsid w:val="00722512"/>
    <w:rsid w:val="00722643"/>
    <w:rsid w:val="00722728"/>
    <w:rsid w:val="007229A7"/>
    <w:rsid w:val="00722C22"/>
    <w:rsid w:val="00722E25"/>
    <w:rsid w:val="00722E41"/>
    <w:rsid w:val="00722E44"/>
    <w:rsid w:val="00722EB9"/>
    <w:rsid w:val="0072311C"/>
    <w:rsid w:val="007232FF"/>
    <w:rsid w:val="0072339D"/>
    <w:rsid w:val="00723C09"/>
    <w:rsid w:val="00723C93"/>
    <w:rsid w:val="00723E25"/>
    <w:rsid w:val="00724306"/>
    <w:rsid w:val="007245BF"/>
    <w:rsid w:val="00724714"/>
    <w:rsid w:val="00724CA7"/>
    <w:rsid w:val="00725055"/>
    <w:rsid w:val="007251E4"/>
    <w:rsid w:val="00725308"/>
    <w:rsid w:val="00725553"/>
    <w:rsid w:val="007258C6"/>
    <w:rsid w:val="00725955"/>
    <w:rsid w:val="00725A8C"/>
    <w:rsid w:val="00725AE1"/>
    <w:rsid w:val="00725B66"/>
    <w:rsid w:val="00725CA7"/>
    <w:rsid w:val="00725D34"/>
    <w:rsid w:val="00726387"/>
    <w:rsid w:val="00726439"/>
    <w:rsid w:val="007265CB"/>
    <w:rsid w:val="00726A20"/>
    <w:rsid w:val="00726D64"/>
    <w:rsid w:val="00726DEF"/>
    <w:rsid w:val="00726E30"/>
    <w:rsid w:val="00726EFB"/>
    <w:rsid w:val="00726F37"/>
    <w:rsid w:val="00726F6F"/>
    <w:rsid w:val="00727119"/>
    <w:rsid w:val="00727263"/>
    <w:rsid w:val="00727618"/>
    <w:rsid w:val="00727715"/>
    <w:rsid w:val="007277FE"/>
    <w:rsid w:val="00727E02"/>
    <w:rsid w:val="00727F84"/>
    <w:rsid w:val="00730308"/>
    <w:rsid w:val="007303F3"/>
    <w:rsid w:val="007308D0"/>
    <w:rsid w:val="00730918"/>
    <w:rsid w:val="007309EE"/>
    <w:rsid w:val="00730A62"/>
    <w:rsid w:val="00730ADE"/>
    <w:rsid w:val="00730C74"/>
    <w:rsid w:val="00730F37"/>
    <w:rsid w:val="00731157"/>
    <w:rsid w:val="00731601"/>
    <w:rsid w:val="00731632"/>
    <w:rsid w:val="007316EC"/>
    <w:rsid w:val="0073171C"/>
    <w:rsid w:val="007319E5"/>
    <w:rsid w:val="00731ABA"/>
    <w:rsid w:val="00731AE0"/>
    <w:rsid w:val="00731BDC"/>
    <w:rsid w:val="00731EAE"/>
    <w:rsid w:val="00732777"/>
    <w:rsid w:val="00732FB9"/>
    <w:rsid w:val="007333C9"/>
    <w:rsid w:val="0073340F"/>
    <w:rsid w:val="0073370A"/>
    <w:rsid w:val="00733765"/>
    <w:rsid w:val="00733AA1"/>
    <w:rsid w:val="00733B46"/>
    <w:rsid w:val="00733B77"/>
    <w:rsid w:val="007340A1"/>
    <w:rsid w:val="007342FD"/>
    <w:rsid w:val="007345E3"/>
    <w:rsid w:val="00734677"/>
    <w:rsid w:val="00734C03"/>
    <w:rsid w:val="00734C98"/>
    <w:rsid w:val="00735643"/>
    <w:rsid w:val="00735EA0"/>
    <w:rsid w:val="00736180"/>
    <w:rsid w:val="00736678"/>
    <w:rsid w:val="007369FB"/>
    <w:rsid w:val="00736BD2"/>
    <w:rsid w:val="007374C6"/>
    <w:rsid w:val="0073790D"/>
    <w:rsid w:val="00737926"/>
    <w:rsid w:val="007379EB"/>
    <w:rsid w:val="00737EFE"/>
    <w:rsid w:val="00737F33"/>
    <w:rsid w:val="00740081"/>
    <w:rsid w:val="00740239"/>
    <w:rsid w:val="007402C3"/>
    <w:rsid w:val="007406B2"/>
    <w:rsid w:val="0074097D"/>
    <w:rsid w:val="007409F3"/>
    <w:rsid w:val="00740B5A"/>
    <w:rsid w:val="00740C18"/>
    <w:rsid w:val="00740FB9"/>
    <w:rsid w:val="007412E7"/>
    <w:rsid w:val="0074164B"/>
    <w:rsid w:val="00741CEF"/>
    <w:rsid w:val="00741D37"/>
    <w:rsid w:val="0074223B"/>
    <w:rsid w:val="00742A18"/>
    <w:rsid w:val="00742A49"/>
    <w:rsid w:val="00742C82"/>
    <w:rsid w:val="00742E23"/>
    <w:rsid w:val="00743182"/>
    <w:rsid w:val="00743429"/>
    <w:rsid w:val="0074378A"/>
    <w:rsid w:val="00743DD7"/>
    <w:rsid w:val="0074474C"/>
    <w:rsid w:val="0074474D"/>
    <w:rsid w:val="00744B77"/>
    <w:rsid w:val="00744EEE"/>
    <w:rsid w:val="007450A6"/>
    <w:rsid w:val="00745200"/>
    <w:rsid w:val="00745672"/>
    <w:rsid w:val="0074582C"/>
    <w:rsid w:val="00745CBF"/>
    <w:rsid w:val="00745E33"/>
    <w:rsid w:val="007461D2"/>
    <w:rsid w:val="00746234"/>
    <w:rsid w:val="00746630"/>
    <w:rsid w:val="0074676B"/>
    <w:rsid w:val="0074694F"/>
    <w:rsid w:val="00746E15"/>
    <w:rsid w:val="007473D0"/>
    <w:rsid w:val="007473E8"/>
    <w:rsid w:val="00747596"/>
    <w:rsid w:val="007475F3"/>
    <w:rsid w:val="007477A9"/>
    <w:rsid w:val="00747934"/>
    <w:rsid w:val="00747A8E"/>
    <w:rsid w:val="00747C88"/>
    <w:rsid w:val="00747D96"/>
    <w:rsid w:val="0075024A"/>
    <w:rsid w:val="00750515"/>
    <w:rsid w:val="007505E2"/>
    <w:rsid w:val="0075081D"/>
    <w:rsid w:val="00750895"/>
    <w:rsid w:val="007508BD"/>
    <w:rsid w:val="00750DE3"/>
    <w:rsid w:val="00750E4F"/>
    <w:rsid w:val="0075111A"/>
    <w:rsid w:val="00751590"/>
    <w:rsid w:val="0075174A"/>
    <w:rsid w:val="0075177B"/>
    <w:rsid w:val="00751978"/>
    <w:rsid w:val="00751A6E"/>
    <w:rsid w:val="00751C08"/>
    <w:rsid w:val="00751CEA"/>
    <w:rsid w:val="00752067"/>
    <w:rsid w:val="0075232B"/>
    <w:rsid w:val="007523EC"/>
    <w:rsid w:val="007527D4"/>
    <w:rsid w:val="00752952"/>
    <w:rsid w:val="00752B4D"/>
    <w:rsid w:val="00752B75"/>
    <w:rsid w:val="00752BFF"/>
    <w:rsid w:val="00753099"/>
    <w:rsid w:val="0075335D"/>
    <w:rsid w:val="007535B6"/>
    <w:rsid w:val="007537E0"/>
    <w:rsid w:val="0075397D"/>
    <w:rsid w:val="00753ED1"/>
    <w:rsid w:val="00753F23"/>
    <w:rsid w:val="007540E1"/>
    <w:rsid w:val="007541DF"/>
    <w:rsid w:val="007541EC"/>
    <w:rsid w:val="00754291"/>
    <w:rsid w:val="00754313"/>
    <w:rsid w:val="007547D6"/>
    <w:rsid w:val="00754868"/>
    <w:rsid w:val="007548ED"/>
    <w:rsid w:val="00754957"/>
    <w:rsid w:val="007549F5"/>
    <w:rsid w:val="00754A08"/>
    <w:rsid w:val="00754B52"/>
    <w:rsid w:val="00754B95"/>
    <w:rsid w:val="00754BA2"/>
    <w:rsid w:val="00754F6C"/>
    <w:rsid w:val="00754FEB"/>
    <w:rsid w:val="0075500D"/>
    <w:rsid w:val="0075500E"/>
    <w:rsid w:val="007550A4"/>
    <w:rsid w:val="0075563B"/>
    <w:rsid w:val="00756304"/>
    <w:rsid w:val="00756412"/>
    <w:rsid w:val="007564C9"/>
    <w:rsid w:val="0075652A"/>
    <w:rsid w:val="00756731"/>
    <w:rsid w:val="007569E4"/>
    <w:rsid w:val="00756DA3"/>
    <w:rsid w:val="00756E2D"/>
    <w:rsid w:val="00756E60"/>
    <w:rsid w:val="00757044"/>
    <w:rsid w:val="00757075"/>
    <w:rsid w:val="007570B4"/>
    <w:rsid w:val="00757359"/>
    <w:rsid w:val="00757A29"/>
    <w:rsid w:val="00757C80"/>
    <w:rsid w:val="00757D5C"/>
    <w:rsid w:val="00760127"/>
    <w:rsid w:val="007606CA"/>
    <w:rsid w:val="007608F5"/>
    <w:rsid w:val="00760AFC"/>
    <w:rsid w:val="00760BD7"/>
    <w:rsid w:val="00760D1D"/>
    <w:rsid w:val="00760D97"/>
    <w:rsid w:val="00761673"/>
    <w:rsid w:val="007617FB"/>
    <w:rsid w:val="00761A13"/>
    <w:rsid w:val="00761F76"/>
    <w:rsid w:val="00761FFE"/>
    <w:rsid w:val="00762916"/>
    <w:rsid w:val="00762B6E"/>
    <w:rsid w:val="00762D53"/>
    <w:rsid w:val="00762D62"/>
    <w:rsid w:val="00762F69"/>
    <w:rsid w:val="00763543"/>
    <w:rsid w:val="007636E7"/>
    <w:rsid w:val="007637B9"/>
    <w:rsid w:val="00763C6C"/>
    <w:rsid w:val="00764137"/>
    <w:rsid w:val="007641D5"/>
    <w:rsid w:val="007642AB"/>
    <w:rsid w:val="007643D4"/>
    <w:rsid w:val="0076450F"/>
    <w:rsid w:val="007645C2"/>
    <w:rsid w:val="00764657"/>
    <w:rsid w:val="007647A8"/>
    <w:rsid w:val="00764E68"/>
    <w:rsid w:val="0076508B"/>
    <w:rsid w:val="007652CD"/>
    <w:rsid w:val="0076556F"/>
    <w:rsid w:val="00765621"/>
    <w:rsid w:val="00765795"/>
    <w:rsid w:val="00765B0B"/>
    <w:rsid w:val="007660D5"/>
    <w:rsid w:val="0076610B"/>
    <w:rsid w:val="0076618B"/>
    <w:rsid w:val="007662D3"/>
    <w:rsid w:val="007664D5"/>
    <w:rsid w:val="0076656B"/>
    <w:rsid w:val="0076671A"/>
    <w:rsid w:val="007667C5"/>
    <w:rsid w:val="0076696F"/>
    <w:rsid w:val="00766ADE"/>
    <w:rsid w:val="00766D64"/>
    <w:rsid w:val="00766F41"/>
    <w:rsid w:val="00767397"/>
    <w:rsid w:val="00767670"/>
    <w:rsid w:val="007679D5"/>
    <w:rsid w:val="00767F1B"/>
    <w:rsid w:val="007702A2"/>
    <w:rsid w:val="00770425"/>
    <w:rsid w:val="00770B28"/>
    <w:rsid w:val="00770B71"/>
    <w:rsid w:val="00770EF8"/>
    <w:rsid w:val="00770F1F"/>
    <w:rsid w:val="007714B1"/>
    <w:rsid w:val="007718EC"/>
    <w:rsid w:val="00771B53"/>
    <w:rsid w:val="00772474"/>
    <w:rsid w:val="007725D9"/>
    <w:rsid w:val="00772A03"/>
    <w:rsid w:val="00772AE9"/>
    <w:rsid w:val="00772D4E"/>
    <w:rsid w:val="00772E0D"/>
    <w:rsid w:val="00772FA0"/>
    <w:rsid w:val="007730CC"/>
    <w:rsid w:val="007731F5"/>
    <w:rsid w:val="00773225"/>
    <w:rsid w:val="00773370"/>
    <w:rsid w:val="0077349A"/>
    <w:rsid w:val="00773B60"/>
    <w:rsid w:val="00773C68"/>
    <w:rsid w:val="00773F1E"/>
    <w:rsid w:val="007742BB"/>
    <w:rsid w:val="00774691"/>
    <w:rsid w:val="007747A0"/>
    <w:rsid w:val="007748C8"/>
    <w:rsid w:val="00774AB2"/>
    <w:rsid w:val="00774BBE"/>
    <w:rsid w:val="00774C87"/>
    <w:rsid w:val="00774E68"/>
    <w:rsid w:val="00774F1D"/>
    <w:rsid w:val="00774F7B"/>
    <w:rsid w:val="00775008"/>
    <w:rsid w:val="00775377"/>
    <w:rsid w:val="007753BA"/>
    <w:rsid w:val="007757E4"/>
    <w:rsid w:val="007759D2"/>
    <w:rsid w:val="00775EC8"/>
    <w:rsid w:val="007761D3"/>
    <w:rsid w:val="00776331"/>
    <w:rsid w:val="007764B4"/>
    <w:rsid w:val="00776CE9"/>
    <w:rsid w:val="00776D47"/>
    <w:rsid w:val="00776E5C"/>
    <w:rsid w:val="00776F75"/>
    <w:rsid w:val="007770D4"/>
    <w:rsid w:val="007776FB"/>
    <w:rsid w:val="007778DC"/>
    <w:rsid w:val="00777938"/>
    <w:rsid w:val="00777A25"/>
    <w:rsid w:val="00780631"/>
    <w:rsid w:val="00780975"/>
    <w:rsid w:val="00780C08"/>
    <w:rsid w:val="00780DCA"/>
    <w:rsid w:val="00781277"/>
    <w:rsid w:val="0078132A"/>
    <w:rsid w:val="00781508"/>
    <w:rsid w:val="0078161B"/>
    <w:rsid w:val="00781C08"/>
    <w:rsid w:val="00781C27"/>
    <w:rsid w:val="00781D15"/>
    <w:rsid w:val="00781DBE"/>
    <w:rsid w:val="00781E8B"/>
    <w:rsid w:val="00782145"/>
    <w:rsid w:val="00782253"/>
    <w:rsid w:val="00782285"/>
    <w:rsid w:val="007822C7"/>
    <w:rsid w:val="00782538"/>
    <w:rsid w:val="00782554"/>
    <w:rsid w:val="007826B4"/>
    <w:rsid w:val="007826E3"/>
    <w:rsid w:val="007829AF"/>
    <w:rsid w:val="00782BB6"/>
    <w:rsid w:val="00782E57"/>
    <w:rsid w:val="0078371C"/>
    <w:rsid w:val="00783B8C"/>
    <w:rsid w:val="00783F43"/>
    <w:rsid w:val="00784233"/>
    <w:rsid w:val="00784371"/>
    <w:rsid w:val="0078484D"/>
    <w:rsid w:val="0078498B"/>
    <w:rsid w:val="0078547C"/>
    <w:rsid w:val="007854E4"/>
    <w:rsid w:val="00785AD2"/>
    <w:rsid w:val="00785AE5"/>
    <w:rsid w:val="00785E5E"/>
    <w:rsid w:val="00786218"/>
    <w:rsid w:val="00786567"/>
    <w:rsid w:val="0078667D"/>
    <w:rsid w:val="007867BD"/>
    <w:rsid w:val="0078686A"/>
    <w:rsid w:val="00786A55"/>
    <w:rsid w:val="007873F4"/>
    <w:rsid w:val="00787A80"/>
    <w:rsid w:val="00787BE9"/>
    <w:rsid w:val="00787D0A"/>
    <w:rsid w:val="00787D7C"/>
    <w:rsid w:val="00787E04"/>
    <w:rsid w:val="00787F98"/>
    <w:rsid w:val="007900E5"/>
    <w:rsid w:val="00790104"/>
    <w:rsid w:val="007901BA"/>
    <w:rsid w:val="00790270"/>
    <w:rsid w:val="00790763"/>
    <w:rsid w:val="00790B91"/>
    <w:rsid w:val="00790C7F"/>
    <w:rsid w:val="00790FBC"/>
    <w:rsid w:val="00791512"/>
    <w:rsid w:val="007915FB"/>
    <w:rsid w:val="00791696"/>
    <w:rsid w:val="00791A52"/>
    <w:rsid w:val="00791AC1"/>
    <w:rsid w:val="00791D32"/>
    <w:rsid w:val="00791F4F"/>
    <w:rsid w:val="00792314"/>
    <w:rsid w:val="00792905"/>
    <w:rsid w:val="00792BF1"/>
    <w:rsid w:val="00792C29"/>
    <w:rsid w:val="00792E1A"/>
    <w:rsid w:val="00792E2F"/>
    <w:rsid w:val="00792EF0"/>
    <w:rsid w:val="00792F71"/>
    <w:rsid w:val="00792FCE"/>
    <w:rsid w:val="00793154"/>
    <w:rsid w:val="007935DA"/>
    <w:rsid w:val="007938CA"/>
    <w:rsid w:val="007938DC"/>
    <w:rsid w:val="00793C6E"/>
    <w:rsid w:val="00793E3A"/>
    <w:rsid w:val="00793EA3"/>
    <w:rsid w:val="0079412C"/>
    <w:rsid w:val="007943F4"/>
    <w:rsid w:val="00794740"/>
    <w:rsid w:val="007948AB"/>
    <w:rsid w:val="00794C04"/>
    <w:rsid w:val="00794C24"/>
    <w:rsid w:val="00794D4D"/>
    <w:rsid w:val="00795001"/>
    <w:rsid w:val="0079501C"/>
    <w:rsid w:val="00795223"/>
    <w:rsid w:val="0079560E"/>
    <w:rsid w:val="0079590F"/>
    <w:rsid w:val="007967C4"/>
    <w:rsid w:val="00796AC1"/>
    <w:rsid w:val="00796EFB"/>
    <w:rsid w:val="007971DB"/>
    <w:rsid w:val="007972AC"/>
    <w:rsid w:val="007972F8"/>
    <w:rsid w:val="007976D3"/>
    <w:rsid w:val="0079796E"/>
    <w:rsid w:val="00797B94"/>
    <w:rsid w:val="00797D7A"/>
    <w:rsid w:val="007A041B"/>
    <w:rsid w:val="007A04BB"/>
    <w:rsid w:val="007A0583"/>
    <w:rsid w:val="007A070D"/>
    <w:rsid w:val="007A0833"/>
    <w:rsid w:val="007A0FFA"/>
    <w:rsid w:val="007A1633"/>
    <w:rsid w:val="007A1733"/>
    <w:rsid w:val="007A1736"/>
    <w:rsid w:val="007A1838"/>
    <w:rsid w:val="007A183B"/>
    <w:rsid w:val="007A1C75"/>
    <w:rsid w:val="007A1F7B"/>
    <w:rsid w:val="007A2032"/>
    <w:rsid w:val="007A213E"/>
    <w:rsid w:val="007A2223"/>
    <w:rsid w:val="007A22E4"/>
    <w:rsid w:val="007A23F3"/>
    <w:rsid w:val="007A2504"/>
    <w:rsid w:val="007A29B9"/>
    <w:rsid w:val="007A2B0B"/>
    <w:rsid w:val="007A2FFC"/>
    <w:rsid w:val="007A315E"/>
    <w:rsid w:val="007A38EB"/>
    <w:rsid w:val="007A3C82"/>
    <w:rsid w:val="007A3D6E"/>
    <w:rsid w:val="007A3EF9"/>
    <w:rsid w:val="007A3FEA"/>
    <w:rsid w:val="007A42CD"/>
    <w:rsid w:val="007A438F"/>
    <w:rsid w:val="007A44D6"/>
    <w:rsid w:val="007A46AB"/>
    <w:rsid w:val="007A4A8B"/>
    <w:rsid w:val="007A4D1C"/>
    <w:rsid w:val="007A4DB8"/>
    <w:rsid w:val="007A4ED7"/>
    <w:rsid w:val="007A4FBA"/>
    <w:rsid w:val="007A50D4"/>
    <w:rsid w:val="007A54D7"/>
    <w:rsid w:val="007A54FA"/>
    <w:rsid w:val="007A587D"/>
    <w:rsid w:val="007A5D1A"/>
    <w:rsid w:val="007A6042"/>
    <w:rsid w:val="007A6407"/>
    <w:rsid w:val="007A6F98"/>
    <w:rsid w:val="007A704B"/>
    <w:rsid w:val="007A71EE"/>
    <w:rsid w:val="007A7254"/>
    <w:rsid w:val="007A7356"/>
    <w:rsid w:val="007A7447"/>
    <w:rsid w:val="007A74E2"/>
    <w:rsid w:val="007A7574"/>
    <w:rsid w:val="007A75E1"/>
    <w:rsid w:val="007A7999"/>
    <w:rsid w:val="007A7E41"/>
    <w:rsid w:val="007B0059"/>
    <w:rsid w:val="007B056E"/>
    <w:rsid w:val="007B0819"/>
    <w:rsid w:val="007B0BB9"/>
    <w:rsid w:val="007B0D9A"/>
    <w:rsid w:val="007B0E2A"/>
    <w:rsid w:val="007B1259"/>
    <w:rsid w:val="007B1338"/>
    <w:rsid w:val="007B14BB"/>
    <w:rsid w:val="007B161C"/>
    <w:rsid w:val="007B17D0"/>
    <w:rsid w:val="007B1825"/>
    <w:rsid w:val="007B19DC"/>
    <w:rsid w:val="007B1A0B"/>
    <w:rsid w:val="007B1B52"/>
    <w:rsid w:val="007B21B9"/>
    <w:rsid w:val="007B2226"/>
    <w:rsid w:val="007B22CA"/>
    <w:rsid w:val="007B2584"/>
    <w:rsid w:val="007B25FE"/>
    <w:rsid w:val="007B2A05"/>
    <w:rsid w:val="007B2B0E"/>
    <w:rsid w:val="007B2BE1"/>
    <w:rsid w:val="007B2C42"/>
    <w:rsid w:val="007B307E"/>
    <w:rsid w:val="007B31ED"/>
    <w:rsid w:val="007B3373"/>
    <w:rsid w:val="007B3B11"/>
    <w:rsid w:val="007B3C4F"/>
    <w:rsid w:val="007B3E48"/>
    <w:rsid w:val="007B4165"/>
    <w:rsid w:val="007B41EB"/>
    <w:rsid w:val="007B4482"/>
    <w:rsid w:val="007B4654"/>
    <w:rsid w:val="007B4742"/>
    <w:rsid w:val="007B4B17"/>
    <w:rsid w:val="007B4B80"/>
    <w:rsid w:val="007B4E2A"/>
    <w:rsid w:val="007B5028"/>
    <w:rsid w:val="007B51AE"/>
    <w:rsid w:val="007B51B7"/>
    <w:rsid w:val="007B53FD"/>
    <w:rsid w:val="007B571D"/>
    <w:rsid w:val="007B5929"/>
    <w:rsid w:val="007B5966"/>
    <w:rsid w:val="007B5CAF"/>
    <w:rsid w:val="007B619A"/>
    <w:rsid w:val="007B664F"/>
    <w:rsid w:val="007B67E8"/>
    <w:rsid w:val="007B6826"/>
    <w:rsid w:val="007B68BD"/>
    <w:rsid w:val="007B6A90"/>
    <w:rsid w:val="007B6B60"/>
    <w:rsid w:val="007B6D1B"/>
    <w:rsid w:val="007B7232"/>
    <w:rsid w:val="007B72E0"/>
    <w:rsid w:val="007B777D"/>
    <w:rsid w:val="007B78E6"/>
    <w:rsid w:val="007B7AC7"/>
    <w:rsid w:val="007B7B8F"/>
    <w:rsid w:val="007B7DB9"/>
    <w:rsid w:val="007B7E9E"/>
    <w:rsid w:val="007C030F"/>
    <w:rsid w:val="007C0372"/>
    <w:rsid w:val="007C044A"/>
    <w:rsid w:val="007C04EB"/>
    <w:rsid w:val="007C0B74"/>
    <w:rsid w:val="007C0BF1"/>
    <w:rsid w:val="007C1399"/>
    <w:rsid w:val="007C1493"/>
    <w:rsid w:val="007C1517"/>
    <w:rsid w:val="007C16CD"/>
    <w:rsid w:val="007C1872"/>
    <w:rsid w:val="007C1D25"/>
    <w:rsid w:val="007C204D"/>
    <w:rsid w:val="007C20A5"/>
    <w:rsid w:val="007C212A"/>
    <w:rsid w:val="007C2224"/>
    <w:rsid w:val="007C2781"/>
    <w:rsid w:val="007C27EC"/>
    <w:rsid w:val="007C3104"/>
    <w:rsid w:val="007C31AC"/>
    <w:rsid w:val="007C349E"/>
    <w:rsid w:val="007C3613"/>
    <w:rsid w:val="007C379E"/>
    <w:rsid w:val="007C3887"/>
    <w:rsid w:val="007C38D0"/>
    <w:rsid w:val="007C39C7"/>
    <w:rsid w:val="007C39EA"/>
    <w:rsid w:val="007C4448"/>
    <w:rsid w:val="007C452D"/>
    <w:rsid w:val="007C4613"/>
    <w:rsid w:val="007C48E7"/>
    <w:rsid w:val="007C4AD6"/>
    <w:rsid w:val="007C4C9E"/>
    <w:rsid w:val="007C4E92"/>
    <w:rsid w:val="007C4F12"/>
    <w:rsid w:val="007C4F65"/>
    <w:rsid w:val="007C51A2"/>
    <w:rsid w:val="007C5489"/>
    <w:rsid w:val="007C5938"/>
    <w:rsid w:val="007C5DF5"/>
    <w:rsid w:val="007C5E72"/>
    <w:rsid w:val="007C6288"/>
    <w:rsid w:val="007C68C4"/>
    <w:rsid w:val="007C6C52"/>
    <w:rsid w:val="007C7168"/>
    <w:rsid w:val="007C727C"/>
    <w:rsid w:val="007C73FE"/>
    <w:rsid w:val="007C756E"/>
    <w:rsid w:val="007C7A40"/>
    <w:rsid w:val="007C7CF3"/>
    <w:rsid w:val="007C7DC9"/>
    <w:rsid w:val="007C7F3F"/>
    <w:rsid w:val="007D008C"/>
    <w:rsid w:val="007D064E"/>
    <w:rsid w:val="007D0A3E"/>
    <w:rsid w:val="007D0C1B"/>
    <w:rsid w:val="007D0C30"/>
    <w:rsid w:val="007D0CDA"/>
    <w:rsid w:val="007D10A9"/>
    <w:rsid w:val="007D112B"/>
    <w:rsid w:val="007D162A"/>
    <w:rsid w:val="007D17AB"/>
    <w:rsid w:val="007D1CD3"/>
    <w:rsid w:val="007D2066"/>
    <w:rsid w:val="007D250D"/>
    <w:rsid w:val="007D2978"/>
    <w:rsid w:val="007D2983"/>
    <w:rsid w:val="007D29C7"/>
    <w:rsid w:val="007D2EFB"/>
    <w:rsid w:val="007D30F2"/>
    <w:rsid w:val="007D35EA"/>
    <w:rsid w:val="007D367A"/>
    <w:rsid w:val="007D36AE"/>
    <w:rsid w:val="007D3B7C"/>
    <w:rsid w:val="007D3D1B"/>
    <w:rsid w:val="007D3EF7"/>
    <w:rsid w:val="007D4354"/>
    <w:rsid w:val="007D4379"/>
    <w:rsid w:val="007D43FF"/>
    <w:rsid w:val="007D4443"/>
    <w:rsid w:val="007D47D2"/>
    <w:rsid w:val="007D4AFF"/>
    <w:rsid w:val="007D4E73"/>
    <w:rsid w:val="007D4E77"/>
    <w:rsid w:val="007D4F81"/>
    <w:rsid w:val="007D55BD"/>
    <w:rsid w:val="007D5636"/>
    <w:rsid w:val="007D5819"/>
    <w:rsid w:val="007D583F"/>
    <w:rsid w:val="007D5A0D"/>
    <w:rsid w:val="007D5C85"/>
    <w:rsid w:val="007D5D09"/>
    <w:rsid w:val="007D667A"/>
    <w:rsid w:val="007D66AB"/>
    <w:rsid w:val="007D692A"/>
    <w:rsid w:val="007D6ABD"/>
    <w:rsid w:val="007D6CF2"/>
    <w:rsid w:val="007D6EF4"/>
    <w:rsid w:val="007D6F02"/>
    <w:rsid w:val="007D7308"/>
    <w:rsid w:val="007D74B3"/>
    <w:rsid w:val="007D7AEF"/>
    <w:rsid w:val="007D7E13"/>
    <w:rsid w:val="007E045E"/>
    <w:rsid w:val="007E076B"/>
    <w:rsid w:val="007E0785"/>
    <w:rsid w:val="007E081E"/>
    <w:rsid w:val="007E0986"/>
    <w:rsid w:val="007E0AB4"/>
    <w:rsid w:val="007E0CBA"/>
    <w:rsid w:val="007E1143"/>
    <w:rsid w:val="007E127A"/>
    <w:rsid w:val="007E1851"/>
    <w:rsid w:val="007E19E8"/>
    <w:rsid w:val="007E1A41"/>
    <w:rsid w:val="007E1B31"/>
    <w:rsid w:val="007E1D8E"/>
    <w:rsid w:val="007E1F60"/>
    <w:rsid w:val="007E2062"/>
    <w:rsid w:val="007E21EC"/>
    <w:rsid w:val="007E229A"/>
    <w:rsid w:val="007E2A51"/>
    <w:rsid w:val="007E2AA2"/>
    <w:rsid w:val="007E2ADE"/>
    <w:rsid w:val="007E3075"/>
    <w:rsid w:val="007E3339"/>
    <w:rsid w:val="007E340D"/>
    <w:rsid w:val="007E39A6"/>
    <w:rsid w:val="007E3AD9"/>
    <w:rsid w:val="007E3CEB"/>
    <w:rsid w:val="007E3D36"/>
    <w:rsid w:val="007E40D2"/>
    <w:rsid w:val="007E4674"/>
    <w:rsid w:val="007E46F1"/>
    <w:rsid w:val="007E48FE"/>
    <w:rsid w:val="007E4D6D"/>
    <w:rsid w:val="007E50D3"/>
    <w:rsid w:val="007E51C2"/>
    <w:rsid w:val="007E52E3"/>
    <w:rsid w:val="007E579B"/>
    <w:rsid w:val="007E57BD"/>
    <w:rsid w:val="007E5BD0"/>
    <w:rsid w:val="007E63B6"/>
    <w:rsid w:val="007E6529"/>
    <w:rsid w:val="007E678A"/>
    <w:rsid w:val="007E6953"/>
    <w:rsid w:val="007E6BC9"/>
    <w:rsid w:val="007E7116"/>
    <w:rsid w:val="007E7865"/>
    <w:rsid w:val="007E786C"/>
    <w:rsid w:val="007E7C44"/>
    <w:rsid w:val="007E7D72"/>
    <w:rsid w:val="007E7D75"/>
    <w:rsid w:val="007E7D90"/>
    <w:rsid w:val="007E7F53"/>
    <w:rsid w:val="007F00A7"/>
    <w:rsid w:val="007F022E"/>
    <w:rsid w:val="007F03D0"/>
    <w:rsid w:val="007F08B2"/>
    <w:rsid w:val="007F0BF0"/>
    <w:rsid w:val="007F0CB7"/>
    <w:rsid w:val="007F0E05"/>
    <w:rsid w:val="007F0EDC"/>
    <w:rsid w:val="007F13A5"/>
    <w:rsid w:val="007F145C"/>
    <w:rsid w:val="007F1515"/>
    <w:rsid w:val="007F153C"/>
    <w:rsid w:val="007F16DC"/>
    <w:rsid w:val="007F19E4"/>
    <w:rsid w:val="007F1B08"/>
    <w:rsid w:val="007F1BDC"/>
    <w:rsid w:val="007F1DBB"/>
    <w:rsid w:val="007F1EE8"/>
    <w:rsid w:val="007F1F31"/>
    <w:rsid w:val="007F1F48"/>
    <w:rsid w:val="007F2321"/>
    <w:rsid w:val="007F2A27"/>
    <w:rsid w:val="007F2A33"/>
    <w:rsid w:val="007F2D74"/>
    <w:rsid w:val="007F2DDB"/>
    <w:rsid w:val="007F2DE1"/>
    <w:rsid w:val="007F2E70"/>
    <w:rsid w:val="007F3015"/>
    <w:rsid w:val="007F3845"/>
    <w:rsid w:val="007F3C9F"/>
    <w:rsid w:val="007F44E7"/>
    <w:rsid w:val="007F478C"/>
    <w:rsid w:val="007F494B"/>
    <w:rsid w:val="007F4BDF"/>
    <w:rsid w:val="007F4E6E"/>
    <w:rsid w:val="007F5150"/>
    <w:rsid w:val="007F52FD"/>
    <w:rsid w:val="007F5749"/>
    <w:rsid w:val="007F5A85"/>
    <w:rsid w:val="007F5C14"/>
    <w:rsid w:val="007F60F5"/>
    <w:rsid w:val="007F617E"/>
    <w:rsid w:val="007F62BC"/>
    <w:rsid w:val="007F6550"/>
    <w:rsid w:val="007F661A"/>
    <w:rsid w:val="007F6E8E"/>
    <w:rsid w:val="007F6EC5"/>
    <w:rsid w:val="007F7098"/>
    <w:rsid w:val="007F7134"/>
    <w:rsid w:val="007F75D5"/>
    <w:rsid w:val="007F7816"/>
    <w:rsid w:val="007F79DE"/>
    <w:rsid w:val="007F7B26"/>
    <w:rsid w:val="007F7B46"/>
    <w:rsid w:val="007F7C87"/>
    <w:rsid w:val="007F7F2C"/>
    <w:rsid w:val="007F7F74"/>
    <w:rsid w:val="007F7FAC"/>
    <w:rsid w:val="00800168"/>
    <w:rsid w:val="00800375"/>
    <w:rsid w:val="008007A7"/>
    <w:rsid w:val="00800804"/>
    <w:rsid w:val="00800978"/>
    <w:rsid w:val="00800E9F"/>
    <w:rsid w:val="00801068"/>
    <w:rsid w:val="008012F7"/>
    <w:rsid w:val="008013A7"/>
    <w:rsid w:val="00801900"/>
    <w:rsid w:val="00801921"/>
    <w:rsid w:val="00801A72"/>
    <w:rsid w:val="00801AE4"/>
    <w:rsid w:val="00801C75"/>
    <w:rsid w:val="00801CEF"/>
    <w:rsid w:val="008020C1"/>
    <w:rsid w:val="008023C3"/>
    <w:rsid w:val="008023E4"/>
    <w:rsid w:val="0080263B"/>
    <w:rsid w:val="00802728"/>
    <w:rsid w:val="00802808"/>
    <w:rsid w:val="00802C2D"/>
    <w:rsid w:val="00802D88"/>
    <w:rsid w:val="00802FC1"/>
    <w:rsid w:val="008035D5"/>
    <w:rsid w:val="00803917"/>
    <w:rsid w:val="00803BB6"/>
    <w:rsid w:val="00803BDE"/>
    <w:rsid w:val="00803E2C"/>
    <w:rsid w:val="00804601"/>
    <w:rsid w:val="008047DC"/>
    <w:rsid w:val="00804C67"/>
    <w:rsid w:val="00804C97"/>
    <w:rsid w:val="00805059"/>
    <w:rsid w:val="008054E4"/>
    <w:rsid w:val="008058DC"/>
    <w:rsid w:val="00805C1A"/>
    <w:rsid w:val="00805DC4"/>
    <w:rsid w:val="00805E21"/>
    <w:rsid w:val="00805FF6"/>
    <w:rsid w:val="0080645B"/>
    <w:rsid w:val="0080649F"/>
    <w:rsid w:val="008064C0"/>
    <w:rsid w:val="008065D4"/>
    <w:rsid w:val="008066E1"/>
    <w:rsid w:val="00806720"/>
    <w:rsid w:val="0080682E"/>
    <w:rsid w:val="00806DDE"/>
    <w:rsid w:val="0080728B"/>
    <w:rsid w:val="00807747"/>
    <w:rsid w:val="00807813"/>
    <w:rsid w:val="00807870"/>
    <w:rsid w:val="00807A85"/>
    <w:rsid w:val="00807C1F"/>
    <w:rsid w:val="00807CDE"/>
    <w:rsid w:val="0081008F"/>
    <w:rsid w:val="008102FD"/>
    <w:rsid w:val="00810721"/>
    <w:rsid w:val="008111D3"/>
    <w:rsid w:val="0081137B"/>
    <w:rsid w:val="008113D5"/>
    <w:rsid w:val="00811423"/>
    <w:rsid w:val="00811478"/>
    <w:rsid w:val="0081178E"/>
    <w:rsid w:val="00811946"/>
    <w:rsid w:val="008119E5"/>
    <w:rsid w:val="00811AFF"/>
    <w:rsid w:val="00811E55"/>
    <w:rsid w:val="00811E7D"/>
    <w:rsid w:val="00812642"/>
    <w:rsid w:val="00812826"/>
    <w:rsid w:val="00812899"/>
    <w:rsid w:val="008128A1"/>
    <w:rsid w:val="008129E6"/>
    <w:rsid w:val="00812BA2"/>
    <w:rsid w:val="00812F5C"/>
    <w:rsid w:val="00813827"/>
    <w:rsid w:val="00813E30"/>
    <w:rsid w:val="008142C0"/>
    <w:rsid w:val="00814CC3"/>
    <w:rsid w:val="00814E60"/>
    <w:rsid w:val="00815391"/>
    <w:rsid w:val="008154DA"/>
    <w:rsid w:val="00816390"/>
    <w:rsid w:val="00816A4C"/>
    <w:rsid w:val="00816B37"/>
    <w:rsid w:val="00816BB9"/>
    <w:rsid w:val="00816BC5"/>
    <w:rsid w:val="008171BE"/>
    <w:rsid w:val="008172E0"/>
    <w:rsid w:val="008175A0"/>
    <w:rsid w:val="008175B1"/>
    <w:rsid w:val="00817939"/>
    <w:rsid w:val="00820271"/>
    <w:rsid w:val="00820290"/>
    <w:rsid w:val="00820651"/>
    <w:rsid w:val="0082077D"/>
    <w:rsid w:val="00820929"/>
    <w:rsid w:val="00820C3C"/>
    <w:rsid w:val="008214ED"/>
    <w:rsid w:val="00821AAE"/>
    <w:rsid w:val="00821E4F"/>
    <w:rsid w:val="00821EF0"/>
    <w:rsid w:val="008222F0"/>
    <w:rsid w:val="008223C1"/>
    <w:rsid w:val="00822982"/>
    <w:rsid w:val="00822B9A"/>
    <w:rsid w:val="00822E2D"/>
    <w:rsid w:val="00822EFC"/>
    <w:rsid w:val="00822F4D"/>
    <w:rsid w:val="008231D1"/>
    <w:rsid w:val="008234CE"/>
    <w:rsid w:val="008235C6"/>
    <w:rsid w:val="0082398E"/>
    <w:rsid w:val="00823B12"/>
    <w:rsid w:val="00823CC1"/>
    <w:rsid w:val="00823E2D"/>
    <w:rsid w:val="00824181"/>
    <w:rsid w:val="008242ED"/>
    <w:rsid w:val="00824406"/>
    <w:rsid w:val="00824D47"/>
    <w:rsid w:val="00824FC0"/>
    <w:rsid w:val="008252C2"/>
    <w:rsid w:val="00825425"/>
    <w:rsid w:val="008256B8"/>
    <w:rsid w:val="008258F2"/>
    <w:rsid w:val="008258FD"/>
    <w:rsid w:val="00825D22"/>
    <w:rsid w:val="00825DE0"/>
    <w:rsid w:val="00825F72"/>
    <w:rsid w:val="0082623D"/>
    <w:rsid w:val="008265CD"/>
    <w:rsid w:val="0082660B"/>
    <w:rsid w:val="0082687F"/>
    <w:rsid w:val="008269AA"/>
    <w:rsid w:val="00826B80"/>
    <w:rsid w:val="00826BD6"/>
    <w:rsid w:val="00826D6C"/>
    <w:rsid w:val="00826F62"/>
    <w:rsid w:val="008273C4"/>
    <w:rsid w:val="0082759C"/>
    <w:rsid w:val="008276EC"/>
    <w:rsid w:val="00827BA2"/>
    <w:rsid w:val="00827BD9"/>
    <w:rsid w:val="00827C39"/>
    <w:rsid w:val="00827D48"/>
    <w:rsid w:val="00827D9F"/>
    <w:rsid w:val="00827F45"/>
    <w:rsid w:val="00830999"/>
    <w:rsid w:val="00830DA7"/>
    <w:rsid w:val="00831200"/>
    <w:rsid w:val="00831ABA"/>
    <w:rsid w:val="00831C56"/>
    <w:rsid w:val="008320A5"/>
    <w:rsid w:val="008321A0"/>
    <w:rsid w:val="00832652"/>
    <w:rsid w:val="008326F3"/>
    <w:rsid w:val="00833336"/>
    <w:rsid w:val="0083336C"/>
    <w:rsid w:val="00833ECE"/>
    <w:rsid w:val="00833F95"/>
    <w:rsid w:val="00833FF4"/>
    <w:rsid w:val="00834189"/>
    <w:rsid w:val="0083437C"/>
    <w:rsid w:val="0083437F"/>
    <w:rsid w:val="00834399"/>
    <w:rsid w:val="008344E1"/>
    <w:rsid w:val="008344F2"/>
    <w:rsid w:val="00834DA0"/>
    <w:rsid w:val="00834F15"/>
    <w:rsid w:val="00835333"/>
    <w:rsid w:val="00835341"/>
    <w:rsid w:val="00835673"/>
    <w:rsid w:val="00835807"/>
    <w:rsid w:val="00835830"/>
    <w:rsid w:val="00835983"/>
    <w:rsid w:val="00835DC7"/>
    <w:rsid w:val="00835F0F"/>
    <w:rsid w:val="00835FDA"/>
    <w:rsid w:val="0083603D"/>
    <w:rsid w:val="00836D79"/>
    <w:rsid w:val="008370C6"/>
    <w:rsid w:val="008371FC"/>
    <w:rsid w:val="0083732B"/>
    <w:rsid w:val="00837434"/>
    <w:rsid w:val="0083769D"/>
    <w:rsid w:val="00837BB6"/>
    <w:rsid w:val="0084009F"/>
    <w:rsid w:val="008401A5"/>
    <w:rsid w:val="0084030D"/>
    <w:rsid w:val="008404FD"/>
    <w:rsid w:val="00840A9B"/>
    <w:rsid w:val="00840D4E"/>
    <w:rsid w:val="00840F6A"/>
    <w:rsid w:val="00841E44"/>
    <w:rsid w:val="00841EF9"/>
    <w:rsid w:val="008421A3"/>
    <w:rsid w:val="0084230D"/>
    <w:rsid w:val="00842398"/>
    <w:rsid w:val="00842843"/>
    <w:rsid w:val="00842956"/>
    <w:rsid w:val="00842C78"/>
    <w:rsid w:val="00843090"/>
    <w:rsid w:val="008432C7"/>
    <w:rsid w:val="008437FE"/>
    <w:rsid w:val="0084390C"/>
    <w:rsid w:val="00843C32"/>
    <w:rsid w:val="00843DC1"/>
    <w:rsid w:val="00843E69"/>
    <w:rsid w:val="00843EEA"/>
    <w:rsid w:val="0084400C"/>
    <w:rsid w:val="0084415F"/>
    <w:rsid w:val="00844226"/>
    <w:rsid w:val="008442D8"/>
    <w:rsid w:val="0084431F"/>
    <w:rsid w:val="008443F5"/>
    <w:rsid w:val="0084497F"/>
    <w:rsid w:val="00844BF2"/>
    <w:rsid w:val="008453F5"/>
    <w:rsid w:val="00845BCB"/>
    <w:rsid w:val="00845E33"/>
    <w:rsid w:val="00846124"/>
    <w:rsid w:val="00846382"/>
    <w:rsid w:val="008463FF"/>
    <w:rsid w:val="0084640F"/>
    <w:rsid w:val="00846807"/>
    <w:rsid w:val="00846BF3"/>
    <w:rsid w:val="00846C3A"/>
    <w:rsid w:val="00847020"/>
    <w:rsid w:val="00847291"/>
    <w:rsid w:val="0084744C"/>
    <w:rsid w:val="0084792C"/>
    <w:rsid w:val="00847991"/>
    <w:rsid w:val="00847AAD"/>
    <w:rsid w:val="00847AAF"/>
    <w:rsid w:val="00847C72"/>
    <w:rsid w:val="00847DCC"/>
    <w:rsid w:val="00847E2D"/>
    <w:rsid w:val="0085007B"/>
    <w:rsid w:val="008501BA"/>
    <w:rsid w:val="0085024E"/>
    <w:rsid w:val="00850398"/>
    <w:rsid w:val="00850506"/>
    <w:rsid w:val="00850AE0"/>
    <w:rsid w:val="00850DC9"/>
    <w:rsid w:val="00851109"/>
    <w:rsid w:val="0085144F"/>
    <w:rsid w:val="008518F8"/>
    <w:rsid w:val="00851934"/>
    <w:rsid w:val="0085195C"/>
    <w:rsid w:val="00851CE7"/>
    <w:rsid w:val="00852242"/>
    <w:rsid w:val="00852721"/>
    <w:rsid w:val="008527F9"/>
    <w:rsid w:val="00852AED"/>
    <w:rsid w:val="008541A7"/>
    <w:rsid w:val="008543E5"/>
    <w:rsid w:val="008546D8"/>
    <w:rsid w:val="00854DC7"/>
    <w:rsid w:val="008550E0"/>
    <w:rsid w:val="008553BC"/>
    <w:rsid w:val="0085593A"/>
    <w:rsid w:val="00855A08"/>
    <w:rsid w:val="00855A2B"/>
    <w:rsid w:val="00855C29"/>
    <w:rsid w:val="00855CC9"/>
    <w:rsid w:val="00856291"/>
    <w:rsid w:val="0085650E"/>
    <w:rsid w:val="00856666"/>
    <w:rsid w:val="008568F4"/>
    <w:rsid w:val="00856B81"/>
    <w:rsid w:val="008570FC"/>
    <w:rsid w:val="0085747F"/>
    <w:rsid w:val="00857781"/>
    <w:rsid w:val="00857A00"/>
    <w:rsid w:val="00860CED"/>
    <w:rsid w:val="0086100B"/>
    <w:rsid w:val="00861812"/>
    <w:rsid w:val="00861873"/>
    <w:rsid w:val="00861F01"/>
    <w:rsid w:val="00862798"/>
    <w:rsid w:val="00862AD0"/>
    <w:rsid w:val="00862F1B"/>
    <w:rsid w:val="00862FF3"/>
    <w:rsid w:val="00863194"/>
    <w:rsid w:val="00863497"/>
    <w:rsid w:val="00863B40"/>
    <w:rsid w:val="00863E93"/>
    <w:rsid w:val="00864416"/>
    <w:rsid w:val="00864472"/>
    <w:rsid w:val="0086464F"/>
    <w:rsid w:val="008649D7"/>
    <w:rsid w:val="00864C74"/>
    <w:rsid w:val="00864F5A"/>
    <w:rsid w:val="00865179"/>
    <w:rsid w:val="00865220"/>
    <w:rsid w:val="00865893"/>
    <w:rsid w:val="00865E3A"/>
    <w:rsid w:val="00865F88"/>
    <w:rsid w:val="0086664A"/>
    <w:rsid w:val="00866DC9"/>
    <w:rsid w:val="00866E47"/>
    <w:rsid w:val="00867121"/>
    <w:rsid w:val="008672D4"/>
    <w:rsid w:val="008678C8"/>
    <w:rsid w:val="00867A16"/>
    <w:rsid w:val="00867C45"/>
    <w:rsid w:val="0087009C"/>
    <w:rsid w:val="00870376"/>
    <w:rsid w:val="008703A9"/>
    <w:rsid w:val="008703B0"/>
    <w:rsid w:val="00870F85"/>
    <w:rsid w:val="0087142B"/>
    <w:rsid w:val="00871473"/>
    <w:rsid w:val="00871493"/>
    <w:rsid w:val="00871744"/>
    <w:rsid w:val="00871DEB"/>
    <w:rsid w:val="0087234A"/>
    <w:rsid w:val="008726CD"/>
    <w:rsid w:val="00872B90"/>
    <w:rsid w:val="00872DFE"/>
    <w:rsid w:val="00873495"/>
    <w:rsid w:val="00873740"/>
    <w:rsid w:val="00873741"/>
    <w:rsid w:val="00873785"/>
    <w:rsid w:val="008737BD"/>
    <w:rsid w:val="00873878"/>
    <w:rsid w:val="00873E54"/>
    <w:rsid w:val="008741FC"/>
    <w:rsid w:val="008743F0"/>
    <w:rsid w:val="00874712"/>
    <w:rsid w:val="008749CC"/>
    <w:rsid w:val="00874A6F"/>
    <w:rsid w:val="00874A85"/>
    <w:rsid w:val="00874D37"/>
    <w:rsid w:val="00874E6B"/>
    <w:rsid w:val="00875633"/>
    <w:rsid w:val="00875720"/>
    <w:rsid w:val="0087581D"/>
    <w:rsid w:val="00875CF9"/>
    <w:rsid w:val="00875FAF"/>
    <w:rsid w:val="00876055"/>
    <w:rsid w:val="0087633D"/>
    <w:rsid w:val="00876555"/>
    <w:rsid w:val="00876686"/>
    <w:rsid w:val="00876899"/>
    <w:rsid w:val="00877541"/>
    <w:rsid w:val="00877935"/>
    <w:rsid w:val="00880149"/>
    <w:rsid w:val="008804A1"/>
    <w:rsid w:val="008806FC"/>
    <w:rsid w:val="008809F5"/>
    <w:rsid w:val="00880AC1"/>
    <w:rsid w:val="00881073"/>
    <w:rsid w:val="00881121"/>
    <w:rsid w:val="00881205"/>
    <w:rsid w:val="008813D4"/>
    <w:rsid w:val="00881580"/>
    <w:rsid w:val="00881A4F"/>
    <w:rsid w:val="008822E4"/>
    <w:rsid w:val="00882310"/>
    <w:rsid w:val="008824C4"/>
    <w:rsid w:val="008825B9"/>
    <w:rsid w:val="008826F1"/>
    <w:rsid w:val="00882B58"/>
    <w:rsid w:val="00882C1C"/>
    <w:rsid w:val="00883072"/>
    <w:rsid w:val="0088321D"/>
    <w:rsid w:val="0088348B"/>
    <w:rsid w:val="00883647"/>
    <w:rsid w:val="008836B1"/>
    <w:rsid w:val="008837D0"/>
    <w:rsid w:val="00883897"/>
    <w:rsid w:val="00884017"/>
    <w:rsid w:val="0088413E"/>
    <w:rsid w:val="008845E0"/>
    <w:rsid w:val="00884658"/>
    <w:rsid w:val="00884853"/>
    <w:rsid w:val="00885193"/>
    <w:rsid w:val="00885569"/>
    <w:rsid w:val="00885B17"/>
    <w:rsid w:val="00886199"/>
    <w:rsid w:val="00886246"/>
    <w:rsid w:val="00886566"/>
    <w:rsid w:val="00886D0F"/>
    <w:rsid w:val="00886F58"/>
    <w:rsid w:val="00887A19"/>
    <w:rsid w:val="00887CF5"/>
    <w:rsid w:val="00887F99"/>
    <w:rsid w:val="008905EC"/>
    <w:rsid w:val="00890809"/>
    <w:rsid w:val="0089080F"/>
    <w:rsid w:val="008909DB"/>
    <w:rsid w:val="00890BEF"/>
    <w:rsid w:val="00890C2B"/>
    <w:rsid w:val="00890CBA"/>
    <w:rsid w:val="00890DBB"/>
    <w:rsid w:val="00890F12"/>
    <w:rsid w:val="00891388"/>
    <w:rsid w:val="00891832"/>
    <w:rsid w:val="0089186D"/>
    <w:rsid w:val="00892176"/>
    <w:rsid w:val="0089240D"/>
    <w:rsid w:val="008924D5"/>
    <w:rsid w:val="008926DD"/>
    <w:rsid w:val="00892744"/>
    <w:rsid w:val="008928D5"/>
    <w:rsid w:val="00892BE7"/>
    <w:rsid w:val="00892D19"/>
    <w:rsid w:val="00892E8A"/>
    <w:rsid w:val="008930F7"/>
    <w:rsid w:val="0089317D"/>
    <w:rsid w:val="00893502"/>
    <w:rsid w:val="00893B38"/>
    <w:rsid w:val="008945E5"/>
    <w:rsid w:val="00894B53"/>
    <w:rsid w:val="00894E7A"/>
    <w:rsid w:val="0089508E"/>
    <w:rsid w:val="00895199"/>
    <w:rsid w:val="008954BC"/>
    <w:rsid w:val="008956CE"/>
    <w:rsid w:val="008958CF"/>
    <w:rsid w:val="00895A4D"/>
    <w:rsid w:val="00896034"/>
    <w:rsid w:val="008965A5"/>
    <w:rsid w:val="008965FF"/>
    <w:rsid w:val="008968B3"/>
    <w:rsid w:val="00896C2D"/>
    <w:rsid w:val="00896F7D"/>
    <w:rsid w:val="00896F83"/>
    <w:rsid w:val="008970AA"/>
    <w:rsid w:val="008970C5"/>
    <w:rsid w:val="00897527"/>
    <w:rsid w:val="00897A04"/>
    <w:rsid w:val="00897A21"/>
    <w:rsid w:val="00897B4A"/>
    <w:rsid w:val="00897C0A"/>
    <w:rsid w:val="00897CB9"/>
    <w:rsid w:val="00897F24"/>
    <w:rsid w:val="008A0260"/>
    <w:rsid w:val="008A0613"/>
    <w:rsid w:val="008A094A"/>
    <w:rsid w:val="008A09C3"/>
    <w:rsid w:val="008A13B6"/>
    <w:rsid w:val="008A15E0"/>
    <w:rsid w:val="008A18AF"/>
    <w:rsid w:val="008A1AD4"/>
    <w:rsid w:val="008A1EE2"/>
    <w:rsid w:val="008A1FF8"/>
    <w:rsid w:val="008A2167"/>
    <w:rsid w:val="008A25BF"/>
    <w:rsid w:val="008A2B9F"/>
    <w:rsid w:val="008A2C47"/>
    <w:rsid w:val="008A2DDE"/>
    <w:rsid w:val="008A30A0"/>
    <w:rsid w:val="008A31B9"/>
    <w:rsid w:val="008A33F3"/>
    <w:rsid w:val="008A34E3"/>
    <w:rsid w:val="008A3647"/>
    <w:rsid w:val="008A3891"/>
    <w:rsid w:val="008A3B87"/>
    <w:rsid w:val="008A3C14"/>
    <w:rsid w:val="008A3DE9"/>
    <w:rsid w:val="008A4095"/>
    <w:rsid w:val="008A46B9"/>
    <w:rsid w:val="008A4849"/>
    <w:rsid w:val="008A4969"/>
    <w:rsid w:val="008A4AE7"/>
    <w:rsid w:val="008A52D0"/>
    <w:rsid w:val="008A531E"/>
    <w:rsid w:val="008A552E"/>
    <w:rsid w:val="008A58D1"/>
    <w:rsid w:val="008A5B1B"/>
    <w:rsid w:val="008A6DC5"/>
    <w:rsid w:val="008A6DFF"/>
    <w:rsid w:val="008A6F4B"/>
    <w:rsid w:val="008A7355"/>
    <w:rsid w:val="008A75E0"/>
    <w:rsid w:val="008A767E"/>
    <w:rsid w:val="008A7A9B"/>
    <w:rsid w:val="008A7D89"/>
    <w:rsid w:val="008B005D"/>
    <w:rsid w:val="008B0876"/>
    <w:rsid w:val="008B09CD"/>
    <w:rsid w:val="008B0DBD"/>
    <w:rsid w:val="008B0DE9"/>
    <w:rsid w:val="008B0F8E"/>
    <w:rsid w:val="008B0FA9"/>
    <w:rsid w:val="008B1225"/>
    <w:rsid w:val="008B125D"/>
    <w:rsid w:val="008B14D5"/>
    <w:rsid w:val="008B1AF6"/>
    <w:rsid w:val="008B2042"/>
    <w:rsid w:val="008B217D"/>
    <w:rsid w:val="008B2360"/>
    <w:rsid w:val="008B24A9"/>
    <w:rsid w:val="008B2A3F"/>
    <w:rsid w:val="008B2CDF"/>
    <w:rsid w:val="008B2F08"/>
    <w:rsid w:val="008B31EE"/>
    <w:rsid w:val="008B32B1"/>
    <w:rsid w:val="008B33CA"/>
    <w:rsid w:val="008B3513"/>
    <w:rsid w:val="008B3573"/>
    <w:rsid w:val="008B3997"/>
    <w:rsid w:val="008B3E57"/>
    <w:rsid w:val="008B4121"/>
    <w:rsid w:val="008B4666"/>
    <w:rsid w:val="008B4866"/>
    <w:rsid w:val="008B4914"/>
    <w:rsid w:val="008B49C0"/>
    <w:rsid w:val="008B4F88"/>
    <w:rsid w:val="008B58C1"/>
    <w:rsid w:val="008B5BFF"/>
    <w:rsid w:val="008B5DAF"/>
    <w:rsid w:val="008B5FD5"/>
    <w:rsid w:val="008B61E2"/>
    <w:rsid w:val="008B634F"/>
    <w:rsid w:val="008B6376"/>
    <w:rsid w:val="008B6393"/>
    <w:rsid w:val="008B6409"/>
    <w:rsid w:val="008B7606"/>
    <w:rsid w:val="008B77C0"/>
    <w:rsid w:val="008B787F"/>
    <w:rsid w:val="008B7CCA"/>
    <w:rsid w:val="008B7DD7"/>
    <w:rsid w:val="008B7FA5"/>
    <w:rsid w:val="008C007E"/>
    <w:rsid w:val="008C0404"/>
    <w:rsid w:val="008C075D"/>
    <w:rsid w:val="008C0831"/>
    <w:rsid w:val="008C0C44"/>
    <w:rsid w:val="008C0CB0"/>
    <w:rsid w:val="008C0DC9"/>
    <w:rsid w:val="008C0E5C"/>
    <w:rsid w:val="008C146E"/>
    <w:rsid w:val="008C151C"/>
    <w:rsid w:val="008C1888"/>
    <w:rsid w:val="008C1AF3"/>
    <w:rsid w:val="008C1BDE"/>
    <w:rsid w:val="008C1CE3"/>
    <w:rsid w:val="008C214A"/>
    <w:rsid w:val="008C24C6"/>
    <w:rsid w:val="008C2570"/>
    <w:rsid w:val="008C2924"/>
    <w:rsid w:val="008C2C64"/>
    <w:rsid w:val="008C2CB9"/>
    <w:rsid w:val="008C2D21"/>
    <w:rsid w:val="008C2E86"/>
    <w:rsid w:val="008C30B2"/>
    <w:rsid w:val="008C35D6"/>
    <w:rsid w:val="008C4254"/>
    <w:rsid w:val="008C4589"/>
    <w:rsid w:val="008C46AF"/>
    <w:rsid w:val="008C46E9"/>
    <w:rsid w:val="008C47D2"/>
    <w:rsid w:val="008C4E56"/>
    <w:rsid w:val="008C4FDE"/>
    <w:rsid w:val="008C5010"/>
    <w:rsid w:val="008C5207"/>
    <w:rsid w:val="008C54D5"/>
    <w:rsid w:val="008C5580"/>
    <w:rsid w:val="008C55AA"/>
    <w:rsid w:val="008C5701"/>
    <w:rsid w:val="008C5998"/>
    <w:rsid w:val="008C59FF"/>
    <w:rsid w:val="008C5E7A"/>
    <w:rsid w:val="008C6113"/>
    <w:rsid w:val="008C6A15"/>
    <w:rsid w:val="008C6DAC"/>
    <w:rsid w:val="008C7023"/>
    <w:rsid w:val="008C73C6"/>
    <w:rsid w:val="008C744F"/>
    <w:rsid w:val="008C76B5"/>
    <w:rsid w:val="008C7D37"/>
    <w:rsid w:val="008C7E68"/>
    <w:rsid w:val="008C7F00"/>
    <w:rsid w:val="008D035E"/>
    <w:rsid w:val="008D0806"/>
    <w:rsid w:val="008D0962"/>
    <w:rsid w:val="008D0C8F"/>
    <w:rsid w:val="008D0CF7"/>
    <w:rsid w:val="008D0DF2"/>
    <w:rsid w:val="008D0E79"/>
    <w:rsid w:val="008D0E9A"/>
    <w:rsid w:val="008D0EA0"/>
    <w:rsid w:val="008D1226"/>
    <w:rsid w:val="008D1CE1"/>
    <w:rsid w:val="008D1DC6"/>
    <w:rsid w:val="008D2130"/>
    <w:rsid w:val="008D24C6"/>
    <w:rsid w:val="008D2804"/>
    <w:rsid w:val="008D2ACF"/>
    <w:rsid w:val="008D2D77"/>
    <w:rsid w:val="008D2E32"/>
    <w:rsid w:val="008D2F2D"/>
    <w:rsid w:val="008D31D0"/>
    <w:rsid w:val="008D3631"/>
    <w:rsid w:val="008D363B"/>
    <w:rsid w:val="008D3818"/>
    <w:rsid w:val="008D3C02"/>
    <w:rsid w:val="008D3C5B"/>
    <w:rsid w:val="008D3FC8"/>
    <w:rsid w:val="008D40DE"/>
    <w:rsid w:val="008D40FA"/>
    <w:rsid w:val="008D45B0"/>
    <w:rsid w:val="008D4663"/>
    <w:rsid w:val="008D467D"/>
    <w:rsid w:val="008D4737"/>
    <w:rsid w:val="008D4D11"/>
    <w:rsid w:val="008D4EDB"/>
    <w:rsid w:val="008D4F19"/>
    <w:rsid w:val="008D4F7D"/>
    <w:rsid w:val="008D5119"/>
    <w:rsid w:val="008D51B5"/>
    <w:rsid w:val="008D5495"/>
    <w:rsid w:val="008D54BE"/>
    <w:rsid w:val="008D5644"/>
    <w:rsid w:val="008D572C"/>
    <w:rsid w:val="008D5B8B"/>
    <w:rsid w:val="008D5C07"/>
    <w:rsid w:val="008D5D80"/>
    <w:rsid w:val="008D5E64"/>
    <w:rsid w:val="008D6005"/>
    <w:rsid w:val="008D622B"/>
    <w:rsid w:val="008D64EC"/>
    <w:rsid w:val="008D6656"/>
    <w:rsid w:val="008D67A0"/>
    <w:rsid w:val="008D6ACD"/>
    <w:rsid w:val="008D6BE1"/>
    <w:rsid w:val="008D6F38"/>
    <w:rsid w:val="008D70B0"/>
    <w:rsid w:val="008D739B"/>
    <w:rsid w:val="008D73D4"/>
    <w:rsid w:val="008D75BD"/>
    <w:rsid w:val="008D778E"/>
    <w:rsid w:val="008D7BD1"/>
    <w:rsid w:val="008D7D88"/>
    <w:rsid w:val="008D7D8F"/>
    <w:rsid w:val="008D7F02"/>
    <w:rsid w:val="008D7FA0"/>
    <w:rsid w:val="008E03A7"/>
    <w:rsid w:val="008E03DA"/>
    <w:rsid w:val="008E08FF"/>
    <w:rsid w:val="008E0C29"/>
    <w:rsid w:val="008E0EC7"/>
    <w:rsid w:val="008E12B9"/>
    <w:rsid w:val="008E152B"/>
    <w:rsid w:val="008E197F"/>
    <w:rsid w:val="008E19F2"/>
    <w:rsid w:val="008E1FCD"/>
    <w:rsid w:val="008E2EC2"/>
    <w:rsid w:val="008E2FA1"/>
    <w:rsid w:val="008E2FEA"/>
    <w:rsid w:val="008E317E"/>
    <w:rsid w:val="008E31CD"/>
    <w:rsid w:val="008E331B"/>
    <w:rsid w:val="008E3432"/>
    <w:rsid w:val="008E34AF"/>
    <w:rsid w:val="008E3615"/>
    <w:rsid w:val="008E3BC2"/>
    <w:rsid w:val="008E3D84"/>
    <w:rsid w:val="008E3F07"/>
    <w:rsid w:val="008E3FB4"/>
    <w:rsid w:val="008E401C"/>
    <w:rsid w:val="008E4178"/>
    <w:rsid w:val="008E44B6"/>
    <w:rsid w:val="008E44C5"/>
    <w:rsid w:val="008E45E2"/>
    <w:rsid w:val="008E4D0F"/>
    <w:rsid w:val="008E4DE3"/>
    <w:rsid w:val="008E534E"/>
    <w:rsid w:val="008E5465"/>
    <w:rsid w:val="008E5485"/>
    <w:rsid w:val="008E5670"/>
    <w:rsid w:val="008E5AEA"/>
    <w:rsid w:val="008E5CD8"/>
    <w:rsid w:val="008E5E3C"/>
    <w:rsid w:val="008E5F9F"/>
    <w:rsid w:val="008E6035"/>
    <w:rsid w:val="008E60BA"/>
    <w:rsid w:val="008E6258"/>
    <w:rsid w:val="008E647B"/>
    <w:rsid w:val="008E69AE"/>
    <w:rsid w:val="008E6ACE"/>
    <w:rsid w:val="008E6B61"/>
    <w:rsid w:val="008E6BEC"/>
    <w:rsid w:val="008E6D1E"/>
    <w:rsid w:val="008E6DA0"/>
    <w:rsid w:val="008E7AC4"/>
    <w:rsid w:val="008E7AD1"/>
    <w:rsid w:val="008E7BF5"/>
    <w:rsid w:val="008F06B8"/>
    <w:rsid w:val="008F079E"/>
    <w:rsid w:val="008F0E51"/>
    <w:rsid w:val="008F142D"/>
    <w:rsid w:val="008F150D"/>
    <w:rsid w:val="008F151A"/>
    <w:rsid w:val="008F192C"/>
    <w:rsid w:val="008F1A83"/>
    <w:rsid w:val="008F1BF8"/>
    <w:rsid w:val="008F1FEA"/>
    <w:rsid w:val="008F20FE"/>
    <w:rsid w:val="008F2163"/>
    <w:rsid w:val="008F222D"/>
    <w:rsid w:val="008F24D4"/>
    <w:rsid w:val="008F253C"/>
    <w:rsid w:val="008F2546"/>
    <w:rsid w:val="008F28A7"/>
    <w:rsid w:val="008F299B"/>
    <w:rsid w:val="008F2AFF"/>
    <w:rsid w:val="008F2E9D"/>
    <w:rsid w:val="008F3011"/>
    <w:rsid w:val="008F3451"/>
    <w:rsid w:val="008F3456"/>
    <w:rsid w:val="008F3504"/>
    <w:rsid w:val="008F352A"/>
    <w:rsid w:val="008F3542"/>
    <w:rsid w:val="008F36E8"/>
    <w:rsid w:val="008F36EB"/>
    <w:rsid w:val="008F3996"/>
    <w:rsid w:val="008F3B73"/>
    <w:rsid w:val="008F3CFF"/>
    <w:rsid w:val="008F3EAD"/>
    <w:rsid w:val="008F3EAE"/>
    <w:rsid w:val="008F3FD4"/>
    <w:rsid w:val="008F4103"/>
    <w:rsid w:val="008F44C6"/>
    <w:rsid w:val="008F49EA"/>
    <w:rsid w:val="008F4AEB"/>
    <w:rsid w:val="008F4DE4"/>
    <w:rsid w:val="008F5162"/>
    <w:rsid w:val="008F52A4"/>
    <w:rsid w:val="008F52EB"/>
    <w:rsid w:val="008F54A8"/>
    <w:rsid w:val="008F5984"/>
    <w:rsid w:val="008F5B70"/>
    <w:rsid w:val="008F5FC0"/>
    <w:rsid w:val="008F60E1"/>
    <w:rsid w:val="008F62C0"/>
    <w:rsid w:val="008F6303"/>
    <w:rsid w:val="008F645D"/>
    <w:rsid w:val="008F6649"/>
    <w:rsid w:val="008F68B4"/>
    <w:rsid w:val="008F6D84"/>
    <w:rsid w:val="008F6E1B"/>
    <w:rsid w:val="008F73DD"/>
    <w:rsid w:val="008F752D"/>
    <w:rsid w:val="008F7611"/>
    <w:rsid w:val="008F7A82"/>
    <w:rsid w:val="008F7D45"/>
    <w:rsid w:val="008F7EEE"/>
    <w:rsid w:val="0090014E"/>
    <w:rsid w:val="009006F3"/>
    <w:rsid w:val="0090091B"/>
    <w:rsid w:val="00900A6F"/>
    <w:rsid w:val="00900B7C"/>
    <w:rsid w:val="00900CFD"/>
    <w:rsid w:val="00900DCE"/>
    <w:rsid w:val="009013D4"/>
    <w:rsid w:val="00901670"/>
    <w:rsid w:val="009016BA"/>
    <w:rsid w:val="00901737"/>
    <w:rsid w:val="00901BC6"/>
    <w:rsid w:val="00901C0E"/>
    <w:rsid w:val="00901E94"/>
    <w:rsid w:val="009020DF"/>
    <w:rsid w:val="009023FC"/>
    <w:rsid w:val="00902527"/>
    <w:rsid w:val="0090275C"/>
    <w:rsid w:val="00902A2F"/>
    <w:rsid w:val="00902A5B"/>
    <w:rsid w:val="00902B48"/>
    <w:rsid w:val="00902B54"/>
    <w:rsid w:val="00902C35"/>
    <w:rsid w:val="00902CBA"/>
    <w:rsid w:val="0090318C"/>
    <w:rsid w:val="009034D7"/>
    <w:rsid w:val="00903791"/>
    <w:rsid w:val="00903902"/>
    <w:rsid w:val="00903991"/>
    <w:rsid w:val="00903A07"/>
    <w:rsid w:val="00903ABD"/>
    <w:rsid w:val="00903B4F"/>
    <w:rsid w:val="00903D1E"/>
    <w:rsid w:val="0090462A"/>
    <w:rsid w:val="00904A83"/>
    <w:rsid w:val="00904CAB"/>
    <w:rsid w:val="00904EA7"/>
    <w:rsid w:val="00904FA8"/>
    <w:rsid w:val="00904FE1"/>
    <w:rsid w:val="009059FA"/>
    <w:rsid w:val="00905F52"/>
    <w:rsid w:val="009060D9"/>
    <w:rsid w:val="00906257"/>
    <w:rsid w:val="00906481"/>
    <w:rsid w:val="0090649E"/>
    <w:rsid w:val="00906576"/>
    <w:rsid w:val="009066B0"/>
    <w:rsid w:val="0090689C"/>
    <w:rsid w:val="00906942"/>
    <w:rsid w:val="00906C76"/>
    <w:rsid w:val="00906CCD"/>
    <w:rsid w:val="0090727C"/>
    <w:rsid w:val="009074C6"/>
    <w:rsid w:val="009074D5"/>
    <w:rsid w:val="009075F2"/>
    <w:rsid w:val="00907967"/>
    <w:rsid w:val="00907BC7"/>
    <w:rsid w:val="00907D6F"/>
    <w:rsid w:val="00910189"/>
    <w:rsid w:val="009101E0"/>
    <w:rsid w:val="00910832"/>
    <w:rsid w:val="00910ECF"/>
    <w:rsid w:val="009111D1"/>
    <w:rsid w:val="00911500"/>
    <w:rsid w:val="00911583"/>
    <w:rsid w:val="00911645"/>
    <w:rsid w:val="009116E0"/>
    <w:rsid w:val="009119CB"/>
    <w:rsid w:val="00911A28"/>
    <w:rsid w:val="00911ACC"/>
    <w:rsid w:val="00912299"/>
    <w:rsid w:val="00912408"/>
    <w:rsid w:val="009127EE"/>
    <w:rsid w:val="00912FF6"/>
    <w:rsid w:val="00913220"/>
    <w:rsid w:val="0091339F"/>
    <w:rsid w:val="009134F7"/>
    <w:rsid w:val="00913560"/>
    <w:rsid w:val="0091358B"/>
    <w:rsid w:val="009136A0"/>
    <w:rsid w:val="00913861"/>
    <w:rsid w:val="0091387D"/>
    <w:rsid w:val="00913A94"/>
    <w:rsid w:val="00913BB5"/>
    <w:rsid w:val="00913DB8"/>
    <w:rsid w:val="00914350"/>
    <w:rsid w:val="009144A3"/>
    <w:rsid w:val="00914817"/>
    <w:rsid w:val="009149CC"/>
    <w:rsid w:val="00914A4A"/>
    <w:rsid w:val="00914C3B"/>
    <w:rsid w:val="00914C89"/>
    <w:rsid w:val="00915035"/>
    <w:rsid w:val="00915052"/>
    <w:rsid w:val="00915099"/>
    <w:rsid w:val="00915182"/>
    <w:rsid w:val="009151FB"/>
    <w:rsid w:val="009152CF"/>
    <w:rsid w:val="009154D5"/>
    <w:rsid w:val="0091551B"/>
    <w:rsid w:val="00915A63"/>
    <w:rsid w:val="00915A9B"/>
    <w:rsid w:val="00915D2B"/>
    <w:rsid w:val="00915E18"/>
    <w:rsid w:val="00915F4C"/>
    <w:rsid w:val="00916BE1"/>
    <w:rsid w:val="00917226"/>
    <w:rsid w:val="00917385"/>
    <w:rsid w:val="00917845"/>
    <w:rsid w:val="009178A3"/>
    <w:rsid w:val="00917B36"/>
    <w:rsid w:val="00917C59"/>
    <w:rsid w:val="00917E00"/>
    <w:rsid w:val="00917EA1"/>
    <w:rsid w:val="00917F50"/>
    <w:rsid w:val="0092022D"/>
    <w:rsid w:val="0092057A"/>
    <w:rsid w:val="0092079A"/>
    <w:rsid w:val="0092124D"/>
    <w:rsid w:val="00921CD4"/>
    <w:rsid w:val="0092211B"/>
    <w:rsid w:val="0092271D"/>
    <w:rsid w:val="009227A1"/>
    <w:rsid w:val="00922CCC"/>
    <w:rsid w:val="00922E16"/>
    <w:rsid w:val="00922EB8"/>
    <w:rsid w:val="009230C0"/>
    <w:rsid w:val="00923758"/>
    <w:rsid w:val="009237E8"/>
    <w:rsid w:val="009239C0"/>
    <w:rsid w:val="009239F1"/>
    <w:rsid w:val="00923AC6"/>
    <w:rsid w:val="00923E30"/>
    <w:rsid w:val="00923F0D"/>
    <w:rsid w:val="009242AF"/>
    <w:rsid w:val="009242BD"/>
    <w:rsid w:val="00924325"/>
    <w:rsid w:val="009243BE"/>
    <w:rsid w:val="0092483B"/>
    <w:rsid w:val="00924C5C"/>
    <w:rsid w:val="009255A8"/>
    <w:rsid w:val="00925A4C"/>
    <w:rsid w:val="00925BDD"/>
    <w:rsid w:val="00925D32"/>
    <w:rsid w:val="00925F53"/>
    <w:rsid w:val="00925F88"/>
    <w:rsid w:val="009260AE"/>
    <w:rsid w:val="009260E0"/>
    <w:rsid w:val="00926191"/>
    <w:rsid w:val="00926227"/>
    <w:rsid w:val="00926594"/>
    <w:rsid w:val="0092737C"/>
    <w:rsid w:val="009275CD"/>
    <w:rsid w:val="00927C22"/>
    <w:rsid w:val="00927FE3"/>
    <w:rsid w:val="009302A8"/>
    <w:rsid w:val="009304CC"/>
    <w:rsid w:val="009308E2"/>
    <w:rsid w:val="00930D60"/>
    <w:rsid w:val="00930EAB"/>
    <w:rsid w:val="009314EC"/>
    <w:rsid w:val="00931578"/>
    <w:rsid w:val="00931688"/>
    <w:rsid w:val="0093193F"/>
    <w:rsid w:val="00931961"/>
    <w:rsid w:val="009319DB"/>
    <w:rsid w:val="00931FBB"/>
    <w:rsid w:val="009320F8"/>
    <w:rsid w:val="0093293E"/>
    <w:rsid w:val="00932AA6"/>
    <w:rsid w:val="00932BDE"/>
    <w:rsid w:val="00932D84"/>
    <w:rsid w:val="00932D87"/>
    <w:rsid w:val="00932F30"/>
    <w:rsid w:val="00932F93"/>
    <w:rsid w:val="00932F9A"/>
    <w:rsid w:val="00933024"/>
    <w:rsid w:val="00933046"/>
    <w:rsid w:val="0093321A"/>
    <w:rsid w:val="009334EB"/>
    <w:rsid w:val="00933B7C"/>
    <w:rsid w:val="00933D9F"/>
    <w:rsid w:val="00933DC3"/>
    <w:rsid w:val="00934489"/>
    <w:rsid w:val="0093458B"/>
    <w:rsid w:val="00934BA4"/>
    <w:rsid w:val="00934D01"/>
    <w:rsid w:val="00934D4B"/>
    <w:rsid w:val="009358AF"/>
    <w:rsid w:val="00935F3C"/>
    <w:rsid w:val="00935FF6"/>
    <w:rsid w:val="0093601A"/>
    <w:rsid w:val="00936278"/>
    <w:rsid w:val="00936982"/>
    <w:rsid w:val="009369B0"/>
    <w:rsid w:val="00936E9D"/>
    <w:rsid w:val="009373F5"/>
    <w:rsid w:val="009374B5"/>
    <w:rsid w:val="00937BB9"/>
    <w:rsid w:val="00937E8E"/>
    <w:rsid w:val="00937EEE"/>
    <w:rsid w:val="0094000E"/>
    <w:rsid w:val="009403A0"/>
    <w:rsid w:val="0094050E"/>
    <w:rsid w:val="009406B7"/>
    <w:rsid w:val="0094071A"/>
    <w:rsid w:val="009409C4"/>
    <w:rsid w:val="00940D41"/>
    <w:rsid w:val="00940D8E"/>
    <w:rsid w:val="00940EC8"/>
    <w:rsid w:val="00940FA4"/>
    <w:rsid w:val="0094102F"/>
    <w:rsid w:val="009417FA"/>
    <w:rsid w:val="009419E6"/>
    <w:rsid w:val="00941A75"/>
    <w:rsid w:val="00941BE3"/>
    <w:rsid w:val="009424BE"/>
    <w:rsid w:val="00943254"/>
    <w:rsid w:val="009432A8"/>
    <w:rsid w:val="009433A5"/>
    <w:rsid w:val="00943437"/>
    <w:rsid w:val="0094345E"/>
    <w:rsid w:val="009434DF"/>
    <w:rsid w:val="0094361B"/>
    <w:rsid w:val="009436F5"/>
    <w:rsid w:val="009438A6"/>
    <w:rsid w:val="00943D02"/>
    <w:rsid w:val="00943D88"/>
    <w:rsid w:val="00943F06"/>
    <w:rsid w:val="00943FD7"/>
    <w:rsid w:val="0094422A"/>
    <w:rsid w:val="00944351"/>
    <w:rsid w:val="009443B5"/>
    <w:rsid w:val="0094478C"/>
    <w:rsid w:val="00944AAD"/>
    <w:rsid w:val="00944D27"/>
    <w:rsid w:val="00944D58"/>
    <w:rsid w:val="00945864"/>
    <w:rsid w:val="009468AB"/>
    <w:rsid w:val="009468B8"/>
    <w:rsid w:val="009469B6"/>
    <w:rsid w:val="00946D01"/>
    <w:rsid w:val="00946E1C"/>
    <w:rsid w:val="0094720E"/>
    <w:rsid w:val="009472AB"/>
    <w:rsid w:val="009476F6"/>
    <w:rsid w:val="0094777F"/>
    <w:rsid w:val="00947A3A"/>
    <w:rsid w:val="00947B39"/>
    <w:rsid w:val="00947C2E"/>
    <w:rsid w:val="00947E2D"/>
    <w:rsid w:val="00947F43"/>
    <w:rsid w:val="009507D5"/>
    <w:rsid w:val="009508D5"/>
    <w:rsid w:val="00950CA4"/>
    <w:rsid w:val="00950DD1"/>
    <w:rsid w:val="00950E4D"/>
    <w:rsid w:val="00950E6F"/>
    <w:rsid w:val="00951187"/>
    <w:rsid w:val="009518DB"/>
    <w:rsid w:val="00951C3D"/>
    <w:rsid w:val="00951D76"/>
    <w:rsid w:val="009521DE"/>
    <w:rsid w:val="009524B3"/>
    <w:rsid w:val="00952665"/>
    <w:rsid w:val="0095269C"/>
    <w:rsid w:val="00952875"/>
    <w:rsid w:val="00952AFD"/>
    <w:rsid w:val="00952C73"/>
    <w:rsid w:val="00952D08"/>
    <w:rsid w:val="00952D60"/>
    <w:rsid w:val="00953049"/>
    <w:rsid w:val="00953176"/>
    <w:rsid w:val="0095370E"/>
    <w:rsid w:val="009537EC"/>
    <w:rsid w:val="009538A7"/>
    <w:rsid w:val="009539F3"/>
    <w:rsid w:val="00953AE4"/>
    <w:rsid w:val="00953B65"/>
    <w:rsid w:val="00953EB0"/>
    <w:rsid w:val="009540BE"/>
    <w:rsid w:val="00954655"/>
    <w:rsid w:val="00954865"/>
    <w:rsid w:val="00954A3F"/>
    <w:rsid w:val="00954D32"/>
    <w:rsid w:val="00954D57"/>
    <w:rsid w:val="009550CC"/>
    <w:rsid w:val="009553F0"/>
    <w:rsid w:val="00955A0D"/>
    <w:rsid w:val="00955BD9"/>
    <w:rsid w:val="00955D2C"/>
    <w:rsid w:val="00955E8C"/>
    <w:rsid w:val="00956240"/>
    <w:rsid w:val="009564D2"/>
    <w:rsid w:val="00956CCB"/>
    <w:rsid w:val="00956CE9"/>
    <w:rsid w:val="00956ED2"/>
    <w:rsid w:val="00957060"/>
    <w:rsid w:val="009571FF"/>
    <w:rsid w:val="00957378"/>
    <w:rsid w:val="009573CF"/>
    <w:rsid w:val="009577E3"/>
    <w:rsid w:val="0095789C"/>
    <w:rsid w:val="00957E7F"/>
    <w:rsid w:val="00957ECB"/>
    <w:rsid w:val="00960102"/>
    <w:rsid w:val="0096038C"/>
    <w:rsid w:val="0096044C"/>
    <w:rsid w:val="00960948"/>
    <w:rsid w:val="00960BC3"/>
    <w:rsid w:val="00960C75"/>
    <w:rsid w:val="00960CD8"/>
    <w:rsid w:val="00960CE3"/>
    <w:rsid w:val="00960D12"/>
    <w:rsid w:val="00960FD9"/>
    <w:rsid w:val="00961198"/>
    <w:rsid w:val="009612C4"/>
    <w:rsid w:val="00961535"/>
    <w:rsid w:val="009615F7"/>
    <w:rsid w:val="00961736"/>
    <w:rsid w:val="0096177E"/>
    <w:rsid w:val="009617B2"/>
    <w:rsid w:val="0096195C"/>
    <w:rsid w:val="00961FED"/>
    <w:rsid w:val="00963092"/>
    <w:rsid w:val="00963161"/>
    <w:rsid w:val="009637A3"/>
    <w:rsid w:val="00963A13"/>
    <w:rsid w:val="00963BF2"/>
    <w:rsid w:val="00963CB5"/>
    <w:rsid w:val="00964283"/>
    <w:rsid w:val="009643D8"/>
    <w:rsid w:val="009646BE"/>
    <w:rsid w:val="00964862"/>
    <w:rsid w:val="0096491D"/>
    <w:rsid w:val="00964EEA"/>
    <w:rsid w:val="00964FE6"/>
    <w:rsid w:val="00965360"/>
    <w:rsid w:val="009657F0"/>
    <w:rsid w:val="009658C2"/>
    <w:rsid w:val="00965BE0"/>
    <w:rsid w:val="00966664"/>
    <w:rsid w:val="009668C1"/>
    <w:rsid w:val="00966F3D"/>
    <w:rsid w:val="009670D3"/>
    <w:rsid w:val="00967322"/>
    <w:rsid w:val="009673AE"/>
    <w:rsid w:val="009676E3"/>
    <w:rsid w:val="00967D34"/>
    <w:rsid w:val="00967D91"/>
    <w:rsid w:val="00967F14"/>
    <w:rsid w:val="00967FC9"/>
    <w:rsid w:val="00970033"/>
    <w:rsid w:val="00970314"/>
    <w:rsid w:val="0097042E"/>
    <w:rsid w:val="0097055B"/>
    <w:rsid w:val="009707D3"/>
    <w:rsid w:val="00970ACB"/>
    <w:rsid w:val="00970F5C"/>
    <w:rsid w:val="00970FAD"/>
    <w:rsid w:val="00971322"/>
    <w:rsid w:val="0097138E"/>
    <w:rsid w:val="009717C0"/>
    <w:rsid w:val="009718B4"/>
    <w:rsid w:val="009719AB"/>
    <w:rsid w:val="00971D62"/>
    <w:rsid w:val="00971F9F"/>
    <w:rsid w:val="0097215E"/>
    <w:rsid w:val="0097239A"/>
    <w:rsid w:val="009729F7"/>
    <w:rsid w:val="00972BC7"/>
    <w:rsid w:val="00972D46"/>
    <w:rsid w:val="00973515"/>
    <w:rsid w:val="0097351B"/>
    <w:rsid w:val="009735F4"/>
    <w:rsid w:val="0097377C"/>
    <w:rsid w:val="0097379D"/>
    <w:rsid w:val="00973B0D"/>
    <w:rsid w:val="00973ED2"/>
    <w:rsid w:val="00974463"/>
    <w:rsid w:val="00974DB6"/>
    <w:rsid w:val="009752F7"/>
    <w:rsid w:val="00975545"/>
    <w:rsid w:val="009755FF"/>
    <w:rsid w:val="00975806"/>
    <w:rsid w:val="00976464"/>
    <w:rsid w:val="0097664A"/>
    <w:rsid w:val="009767B4"/>
    <w:rsid w:val="00976B8C"/>
    <w:rsid w:val="00976C0B"/>
    <w:rsid w:val="00976F8E"/>
    <w:rsid w:val="00977D22"/>
    <w:rsid w:val="00977D77"/>
    <w:rsid w:val="00977E57"/>
    <w:rsid w:val="00980343"/>
    <w:rsid w:val="00980493"/>
    <w:rsid w:val="009804CB"/>
    <w:rsid w:val="00980719"/>
    <w:rsid w:val="009809DF"/>
    <w:rsid w:val="00980EDD"/>
    <w:rsid w:val="0098104C"/>
    <w:rsid w:val="009812F6"/>
    <w:rsid w:val="009814D1"/>
    <w:rsid w:val="009815E4"/>
    <w:rsid w:val="00981A11"/>
    <w:rsid w:val="00981B87"/>
    <w:rsid w:val="00982117"/>
    <w:rsid w:val="009822D6"/>
    <w:rsid w:val="009824FC"/>
    <w:rsid w:val="00982520"/>
    <w:rsid w:val="0098265E"/>
    <w:rsid w:val="0098277A"/>
    <w:rsid w:val="00982948"/>
    <w:rsid w:val="00982A86"/>
    <w:rsid w:val="00982D14"/>
    <w:rsid w:val="00982DB4"/>
    <w:rsid w:val="0098365F"/>
    <w:rsid w:val="00983A6D"/>
    <w:rsid w:val="00983B1A"/>
    <w:rsid w:val="00983D20"/>
    <w:rsid w:val="00983DD9"/>
    <w:rsid w:val="00984011"/>
    <w:rsid w:val="009841B9"/>
    <w:rsid w:val="00984325"/>
    <w:rsid w:val="0098440F"/>
    <w:rsid w:val="009845B8"/>
    <w:rsid w:val="009847D9"/>
    <w:rsid w:val="00984856"/>
    <w:rsid w:val="0098491C"/>
    <w:rsid w:val="00984B10"/>
    <w:rsid w:val="00984B80"/>
    <w:rsid w:val="00984BE1"/>
    <w:rsid w:val="00984CF3"/>
    <w:rsid w:val="009850CB"/>
    <w:rsid w:val="00985123"/>
    <w:rsid w:val="009851F8"/>
    <w:rsid w:val="0098527E"/>
    <w:rsid w:val="00985322"/>
    <w:rsid w:val="009854DC"/>
    <w:rsid w:val="00985634"/>
    <w:rsid w:val="009857AE"/>
    <w:rsid w:val="00985817"/>
    <w:rsid w:val="009858EF"/>
    <w:rsid w:val="00985E22"/>
    <w:rsid w:val="0098601C"/>
    <w:rsid w:val="00986122"/>
    <w:rsid w:val="0098626B"/>
    <w:rsid w:val="00986493"/>
    <w:rsid w:val="009865B9"/>
    <w:rsid w:val="009867FA"/>
    <w:rsid w:val="00986A7F"/>
    <w:rsid w:val="00986B79"/>
    <w:rsid w:val="009871E8"/>
    <w:rsid w:val="009876BA"/>
    <w:rsid w:val="00987E84"/>
    <w:rsid w:val="00987FA1"/>
    <w:rsid w:val="00990018"/>
    <w:rsid w:val="00990118"/>
    <w:rsid w:val="00990256"/>
    <w:rsid w:val="00990281"/>
    <w:rsid w:val="00990599"/>
    <w:rsid w:val="00991583"/>
    <w:rsid w:val="009919E8"/>
    <w:rsid w:val="00991AA8"/>
    <w:rsid w:val="00991DCB"/>
    <w:rsid w:val="009923AB"/>
    <w:rsid w:val="00992419"/>
    <w:rsid w:val="00992504"/>
    <w:rsid w:val="0099273C"/>
    <w:rsid w:val="00992F66"/>
    <w:rsid w:val="0099308D"/>
    <w:rsid w:val="00993272"/>
    <w:rsid w:val="009933B4"/>
    <w:rsid w:val="009934E6"/>
    <w:rsid w:val="00993541"/>
    <w:rsid w:val="009935A1"/>
    <w:rsid w:val="00993BE1"/>
    <w:rsid w:val="00993E92"/>
    <w:rsid w:val="00993F99"/>
    <w:rsid w:val="0099402E"/>
    <w:rsid w:val="00994038"/>
    <w:rsid w:val="0099439D"/>
    <w:rsid w:val="00994963"/>
    <w:rsid w:val="00994BF6"/>
    <w:rsid w:val="00994EE3"/>
    <w:rsid w:val="009954B2"/>
    <w:rsid w:val="009954BB"/>
    <w:rsid w:val="00995549"/>
    <w:rsid w:val="0099573F"/>
    <w:rsid w:val="0099579C"/>
    <w:rsid w:val="009958C3"/>
    <w:rsid w:val="00995B93"/>
    <w:rsid w:val="00995D31"/>
    <w:rsid w:val="00995F72"/>
    <w:rsid w:val="00995F96"/>
    <w:rsid w:val="009961E3"/>
    <w:rsid w:val="00996304"/>
    <w:rsid w:val="00996531"/>
    <w:rsid w:val="00996610"/>
    <w:rsid w:val="0099678A"/>
    <w:rsid w:val="00996981"/>
    <w:rsid w:val="00996ADA"/>
    <w:rsid w:val="00996B0C"/>
    <w:rsid w:val="009973AB"/>
    <w:rsid w:val="00997554"/>
    <w:rsid w:val="009975AC"/>
    <w:rsid w:val="009975FD"/>
    <w:rsid w:val="00997698"/>
    <w:rsid w:val="0099784F"/>
    <w:rsid w:val="00997A08"/>
    <w:rsid w:val="00997AE2"/>
    <w:rsid w:val="00997F5B"/>
    <w:rsid w:val="009A0399"/>
    <w:rsid w:val="009A0702"/>
    <w:rsid w:val="009A07F4"/>
    <w:rsid w:val="009A0CA8"/>
    <w:rsid w:val="009A0EBD"/>
    <w:rsid w:val="009A110D"/>
    <w:rsid w:val="009A1C45"/>
    <w:rsid w:val="009A1CE1"/>
    <w:rsid w:val="009A21CE"/>
    <w:rsid w:val="009A2459"/>
    <w:rsid w:val="009A279D"/>
    <w:rsid w:val="009A289D"/>
    <w:rsid w:val="009A2C49"/>
    <w:rsid w:val="009A306A"/>
    <w:rsid w:val="009A38CF"/>
    <w:rsid w:val="009A3D77"/>
    <w:rsid w:val="009A40A9"/>
    <w:rsid w:val="009A4106"/>
    <w:rsid w:val="009A42F2"/>
    <w:rsid w:val="009A43AA"/>
    <w:rsid w:val="009A43D9"/>
    <w:rsid w:val="009A4B80"/>
    <w:rsid w:val="009A4D1F"/>
    <w:rsid w:val="009A50DF"/>
    <w:rsid w:val="009A5AA2"/>
    <w:rsid w:val="009A5CAD"/>
    <w:rsid w:val="009A5FEB"/>
    <w:rsid w:val="009A635C"/>
    <w:rsid w:val="009A67EF"/>
    <w:rsid w:val="009A6D6A"/>
    <w:rsid w:val="009A6E3A"/>
    <w:rsid w:val="009A6ED6"/>
    <w:rsid w:val="009A7345"/>
    <w:rsid w:val="009A761E"/>
    <w:rsid w:val="009A7784"/>
    <w:rsid w:val="009A78B0"/>
    <w:rsid w:val="009A792C"/>
    <w:rsid w:val="009A7931"/>
    <w:rsid w:val="009A7A01"/>
    <w:rsid w:val="009A7EE2"/>
    <w:rsid w:val="009B0072"/>
    <w:rsid w:val="009B0195"/>
    <w:rsid w:val="009B05E9"/>
    <w:rsid w:val="009B0B30"/>
    <w:rsid w:val="009B10A6"/>
    <w:rsid w:val="009B10DE"/>
    <w:rsid w:val="009B11D2"/>
    <w:rsid w:val="009B1D02"/>
    <w:rsid w:val="009B258C"/>
    <w:rsid w:val="009B3390"/>
    <w:rsid w:val="009B348C"/>
    <w:rsid w:val="009B34E5"/>
    <w:rsid w:val="009B35BD"/>
    <w:rsid w:val="009B37BF"/>
    <w:rsid w:val="009B3B19"/>
    <w:rsid w:val="009B3CB2"/>
    <w:rsid w:val="009B3E87"/>
    <w:rsid w:val="009B41F8"/>
    <w:rsid w:val="009B432D"/>
    <w:rsid w:val="009B4988"/>
    <w:rsid w:val="009B4AF3"/>
    <w:rsid w:val="009B5009"/>
    <w:rsid w:val="009B50CF"/>
    <w:rsid w:val="009B5395"/>
    <w:rsid w:val="009B5615"/>
    <w:rsid w:val="009B5667"/>
    <w:rsid w:val="009B5842"/>
    <w:rsid w:val="009B5C91"/>
    <w:rsid w:val="009B5E0F"/>
    <w:rsid w:val="009B601F"/>
    <w:rsid w:val="009B645F"/>
    <w:rsid w:val="009B653D"/>
    <w:rsid w:val="009B6C53"/>
    <w:rsid w:val="009B7182"/>
    <w:rsid w:val="009B71EA"/>
    <w:rsid w:val="009B735E"/>
    <w:rsid w:val="009B74C0"/>
    <w:rsid w:val="009B770E"/>
    <w:rsid w:val="009B7954"/>
    <w:rsid w:val="009B7D56"/>
    <w:rsid w:val="009B7FBB"/>
    <w:rsid w:val="009B7FBC"/>
    <w:rsid w:val="009C05FF"/>
    <w:rsid w:val="009C0629"/>
    <w:rsid w:val="009C0A9F"/>
    <w:rsid w:val="009C0AB6"/>
    <w:rsid w:val="009C0D30"/>
    <w:rsid w:val="009C0E09"/>
    <w:rsid w:val="009C0EA3"/>
    <w:rsid w:val="009C1160"/>
    <w:rsid w:val="009C1242"/>
    <w:rsid w:val="009C13C8"/>
    <w:rsid w:val="009C1D4D"/>
    <w:rsid w:val="009C1FE6"/>
    <w:rsid w:val="009C22B9"/>
    <w:rsid w:val="009C275C"/>
    <w:rsid w:val="009C2B0A"/>
    <w:rsid w:val="009C2FC3"/>
    <w:rsid w:val="009C32B5"/>
    <w:rsid w:val="009C337C"/>
    <w:rsid w:val="009C338B"/>
    <w:rsid w:val="009C34E2"/>
    <w:rsid w:val="009C35F9"/>
    <w:rsid w:val="009C3639"/>
    <w:rsid w:val="009C37F6"/>
    <w:rsid w:val="009C3853"/>
    <w:rsid w:val="009C3D6F"/>
    <w:rsid w:val="009C3E15"/>
    <w:rsid w:val="009C417F"/>
    <w:rsid w:val="009C420A"/>
    <w:rsid w:val="009C492D"/>
    <w:rsid w:val="009C4D1B"/>
    <w:rsid w:val="009C5A7A"/>
    <w:rsid w:val="009C5C5B"/>
    <w:rsid w:val="009C5E54"/>
    <w:rsid w:val="009C6412"/>
    <w:rsid w:val="009C647E"/>
    <w:rsid w:val="009C655F"/>
    <w:rsid w:val="009C6E96"/>
    <w:rsid w:val="009C70D9"/>
    <w:rsid w:val="009C742F"/>
    <w:rsid w:val="009C75DA"/>
    <w:rsid w:val="009C7837"/>
    <w:rsid w:val="009C7B1F"/>
    <w:rsid w:val="009C7BD0"/>
    <w:rsid w:val="009C7D49"/>
    <w:rsid w:val="009D00A5"/>
    <w:rsid w:val="009D00FB"/>
    <w:rsid w:val="009D055E"/>
    <w:rsid w:val="009D0762"/>
    <w:rsid w:val="009D07C3"/>
    <w:rsid w:val="009D09B0"/>
    <w:rsid w:val="009D0D70"/>
    <w:rsid w:val="009D0E5F"/>
    <w:rsid w:val="009D1000"/>
    <w:rsid w:val="009D1150"/>
    <w:rsid w:val="009D11FA"/>
    <w:rsid w:val="009D1DCC"/>
    <w:rsid w:val="009D1F65"/>
    <w:rsid w:val="009D232E"/>
    <w:rsid w:val="009D2468"/>
    <w:rsid w:val="009D2560"/>
    <w:rsid w:val="009D277C"/>
    <w:rsid w:val="009D2A07"/>
    <w:rsid w:val="009D2FFD"/>
    <w:rsid w:val="009D313D"/>
    <w:rsid w:val="009D330E"/>
    <w:rsid w:val="009D3968"/>
    <w:rsid w:val="009D3A46"/>
    <w:rsid w:val="009D3ADF"/>
    <w:rsid w:val="009D3E14"/>
    <w:rsid w:val="009D3E49"/>
    <w:rsid w:val="009D3FC6"/>
    <w:rsid w:val="009D43B1"/>
    <w:rsid w:val="009D4443"/>
    <w:rsid w:val="009D452C"/>
    <w:rsid w:val="009D463F"/>
    <w:rsid w:val="009D479C"/>
    <w:rsid w:val="009D4C91"/>
    <w:rsid w:val="009D51E6"/>
    <w:rsid w:val="009D52E4"/>
    <w:rsid w:val="009D5392"/>
    <w:rsid w:val="009D56AF"/>
    <w:rsid w:val="009D5A7E"/>
    <w:rsid w:val="009D5F9E"/>
    <w:rsid w:val="009D620D"/>
    <w:rsid w:val="009D64BE"/>
    <w:rsid w:val="009D6563"/>
    <w:rsid w:val="009D696A"/>
    <w:rsid w:val="009D6B46"/>
    <w:rsid w:val="009D6BC7"/>
    <w:rsid w:val="009D6C8B"/>
    <w:rsid w:val="009D6F4F"/>
    <w:rsid w:val="009D7162"/>
    <w:rsid w:val="009D71A9"/>
    <w:rsid w:val="009D71FD"/>
    <w:rsid w:val="009D7731"/>
    <w:rsid w:val="009E01B4"/>
    <w:rsid w:val="009E046A"/>
    <w:rsid w:val="009E0623"/>
    <w:rsid w:val="009E085B"/>
    <w:rsid w:val="009E08C2"/>
    <w:rsid w:val="009E0E24"/>
    <w:rsid w:val="009E1540"/>
    <w:rsid w:val="009E15F2"/>
    <w:rsid w:val="009E19BA"/>
    <w:rsid w:val="009E2132"/>
    <w:rsid w:val="009E2196"/>
    <w:rsid w:val="009E2400"/>
    <w:rsid w:val="009E2498"/>
    <w:rsid w:val="009E286A"/>
    <w:rsid w:val="009E2A64"/>
    <w:rsid w:val="009E2AF4"/>
    <w:rsid w:val="009E3591"/>
    <w:rsid w:val="009E3C35"/>
    <w:rsid w:val="009E3D02"/>
    <w:rsid w:val="009E3EF2"/>
    <w:rsid w:val="009E421A"/>
    <w:rsid w:val="009E4271"/>
    <w:rsid w:val="009E4334"/>
    <w:rsid w:val="009E4565"/>
    <w:rsid w:val="009E4792"/>
    <w:rsid w:val="009E4928"/>
    <w:rsid w:val="009E4A3C"/>
    <w:rsid w:val="009E51F4"/>
    <w:rsid w:val="009E5260"/>
    <w:rsid w:val="009E537B"/>
    <w:rsid w:val="009E5CC4"/>
    <w:rsid w:val="009E5E5D"/>
    <w:rsid w:val="009E6228"/>
    <w:rsid w:val="009E6A0D"/>
    <w:rsid w:val="009E6A52"/>
    <w:rsid w:val="009E6B42"/>
    <w:rsid w:val="009E7033"/>
    <w:rsid w:val="009E722A"/>
    <w:rsid w:val="009E74F0"/>
    <w:rsid w:val="009E7660"/>
    <w:rsid w:val="009E7789"/>
    <w:rsid w:val="009E7C09"/>
    <w:rsid w:val="009E7CDA"/>
    <w:rsid w:val="009E7E0C"/>
    <w:rsid w:val="009E7ECC"/>
    <w:rsid w:val="009F007F"/>
    <w:rsid w:val="009F0117"/>
    <w:rsid w:val="009F0558"/>
    <w:rsid w:val="009F06D7"/>
    <w:rsid w:val="009F0AB6"/>
    <w:rsid w:val="009F0B7F"/>
    <w:rsid w:val="009F1110"/>
    <w:rsid w:val="009F11DD"/>
    <w:rsid w:val="009F1469"/>
    <w:rsid w:val="009F1585"/>
    <w:rsid w:val="009F1883"/>
    <w:rsid w:val="009F1943"/>
    <w:rsid w:val="009F19EC"/>
    <w:rsid w:val="009F1C03"/>
    <w:rsid w:val="009F1C7A"/>
    <w:rsid w:val="009F1EE3"/>
    <w:rsid w:val="009F25C6"/>
    <w:rsid w:val="009F2B79"/>
    <w:rsid w:val="009F2D39"/>
    <w:rsid w:val="009F2E01"/>
    <w:rsid w:val="009F3384"/>
    <w:rsid w:val="009F35BC"/>
    <w:rsid w:val="009F3742"/>
    <w:rsid w:val="009F3ACF"/>
    <w:rsid w:val="009F3CAD"/>
    <w:rsid w:val="009F40D8"/>
    <w:rsid w:val="009F4424"/>
    <w:rsid w:val="009F46A7"/>
    <w:rsid w:val="009F4C51"/>
    <w:rsid w:val="009F5008"/>
    <w:rsid w:val="009F513F"/>
    <w:rsid w:val="009F533F"/>
    <w:rsid w:val="009F5561"/>
    <w:rsid w:val="009F5BD9"/>
    <w:rsid w:val="009F5C30"/>
    <w:rsid w:val="009F5D3F"/>
    <w:rsid w:val="009F6184"/>
    <w:rsid w:val="009F6302"/>
    <w:rsid w:val="009F63F5"/>
    <w:rsid w:val="009F66DF"/>
    <w:rsid w:val="009F6739"/>
    <w:rsid w:val="009F6A18"/>
    <w:rsid w:val="009F6AC0"/>
    <w:rsid w:val="009F6C1F"/>
    <w:rsid w:val="009F6FBF"/>
    <w:rsid w:val="009F766F"/>
    <w:rsid w:val="009F779A"/>
    <w:rsid w:val="009F792D"/>
    <w:rsid w:val="009F79FB"/>
    <w:rsid w:val="009F7AAD"/>
    <w:rsid w:val="009F7AE2"/>
    <w:rsid w:val="009F7B05"/>
    <w:rsid w:val="009F7C51"/>
    <w:rsid w:val="009F7CF4"/>
    <w:rsid w:val="009F7FE2"/>
    <w:rsid w:val="00A0019E"/>
    <w:rsid w:val="00A002D9"/>
    <w:rsid w:val="00A004AA"/>
    <w:rsid w:val="00A009D8"/>
    <w:rsid w:val="00A00B2D"/>
    <w:rsid w:val="00A011EA"/>
    <w:rsid w:val="00A012AB"/>
    <w:rsid w:val="00A01531"/>
    <w:rsid w:val="00A017BA"/>
    <w:rsid w:val="00A0228D"/>
    <w:rsid w:val="00A02321"/>
    <w:rsid w:val="00A024C6"/>
    <w:rsid w:val="00A02D9D"/>
    <w:rsid w:val="00A02F7E"/>
    <w:rsid w:val="00A02FE3"/>
    <w:rsid w:val="00A031FC"/>
    <w:rsid w:val="00A03621"/>
    <w:rsid w:val="00A03A2D"/>
    <w:rsid w:val="00A03B24"/>
    <w:rsid w:val="00A03D8C"/>
    <w:rsid w:val="00A03D8E"/>
    <w:rsid w:val="00A044AB"/>
    <w:rsid w:val="00A047AC"/>
    <w:rsid w:val="00A0488F"/>
    <w:rsid w:val="00A050E4"/>
    <w:rsid w:val="00A05465"/>
    <w:rsid w:val="00A0549F"/>
    <w:rsid w:val="00A054BD"/>
    <w:rsid w:val="00A05CFC"/>
    <w:rsid w:val="00A05F4A"/>
    <w:rsid w:val="00A06025"/>
    <w:rsid w:val="00A063F0"/>
    <w:rsid w:val="00A065DB"/>
    <w:rsid w:val="00A066FC"/>
    <w:rsid w:val="00A066FD"/>
    <w:rsid w:val="00A067B3"/>
    <w:rsid w:val="00A067F0"/>
    <w:rsid w:val="00A0713E"/>
    <w:rsid w:val="00A07141"/>
    <w:rsid w:val="00A071B9"/>
    <w:rsid w:val="00A07234"/>
    <w:rsid w:val="00A0736A"/>
    <w:rsid w:val="00A075BF"/>
    <w:rsid w:val="00A07909"/>
    <w:rsid w:val="00A07939"/>
    <w:rsid w:val="00A079E4"/>
    <w:rsid w:val="00A07B76"/>
    <w:rsid w:val="00A102F9"/>
    <w:rsid w:val="00A10474"/>
    <w:rsid w:val="00A10901"/>
    <w:rsid w:val="00A109C0"/>
    <w:rsid w:val="00A10A89"/>
    <w:rsid w:val="00A10E0B"/>
    <w:rsid w:val="00A10E62"/>
    <w:rsid w:val="00A10F3E"/>
    <w:rsid w:val="00A111A5"/>
    <w:rsid w:val="00A113EB"/>
    <w:rsid w:val="00A11591"/>
    <w:rsid w:val="00A11666"/>
    <w:rsid w:val="00A11B67"/>
    <w:rsid w:val="00A11D07"/>
    <w:rsid w:val="00A11D78"/>
    <w:rsid w:val="00A11DEC"/>
    <w:rsid w:val="00A11E87"/>
    <w:rsid w:val="00A12173"/>
    <w:rsid w:val="00A122BD"/>
    <w:rsid w:val="00A127CC"/>
    <w:rsid w:val="00A12EDE"/>
    <w:rsid w:val="00A13F05"/>
    <w:rsid w:val="00A14013"/>
    <w:rsid w:val="00A140A3"/>
    <w:rsid w:val="00A140FE"/>
    <w:rsid w:val="00A145DC"/>
    <w:rsid w:val="00A14927"/>
    <w:rsid w:val="00A14ADD"/>
    <w:rsid w:val="00A14E8E"/>
    <w:rsid w:val="00A1507E"/>
    <w:rsid w:val="00A1573F"/>
    <w:rsid w:val="00A15815"/>
    <w:rsid w:val="00A15A87"/>
    <w:rsid w:val="00A15EFC"/>
    <w:rsid w:val="00A16153"/>
    <w:rsid w:val="00A162B8"/>
    <w:rsid w:val="00A16BE6"/>
    <w:rsid w:val="00A16CBC"/>
    <w:rsid w:val="00A16CDB"/>
    <w:rsid w:val="00A170D1"/>
    <w:rsid w:val="00A1719D"/>
    <w:rsid w:val="00A17409"/>
    <w:rsid w:val="00A174C0"/>
    <w:rsid w:val="00A1760E"/>
    <w:rsid w:val="00A17AB8"/>
    <w:rsid w:val="00A17DBC"/>
    <w:rsid w:val="00A17EED"/>
    <w:rsid w:val="00A2028A"/>
    <w:rsid w:val="00A203DD"/>
    <w:rsid w:val="00A2066D"/>
    <w:rsid w:val="00A20925"/>
    <w:rsid w:val="00A20CDF"/>
    <w:rsid w:val="00A20F8C"/>
    <w:rsid w:val="00A2129C"/>
    <w:rsid w:val="00A21871"/>
    <w:rsid w:val="00A219F4"/>
    <w:rsid w:val="00A22381"/>
    <w:rsid w:val="00A225B1"/>
    <w:rsid w:val="00A22AE0"/>
    <w:rsid w:val="00A22CA6"/>
    <w:rsid w:val="00A22F11"/>
    <w:rsid w:val="00A2318E"/>
    <w:rsid w:val="00A2321C"/>
    <w:rsid w:val="00A23445"/>
    <w:rsid w:val="00A23460"/>
    <w:rsid w:val="00A2351A"/>
    <w:rsid w:val="00A23709"/>
    <w:rsid w:val="00A23835"/>
    <w:rsid w:val="00A23854"/>
    <w:rsid w:val="00A23B50"/>
    <w:rsid w:val="00A23BDF"/>
    <w:rsid w:val="00A23DBF"/>
    <w:rsid w:val="00A23F60"/>
    <w:rsid w:val="00A24069"/>
    <w:rsid w:val="00A24162"/>
    <w:rsid w:val="00A2421C"/>
    <w:rsid w:val="00A2437F"/>
    <w:rsid w:val="00A243FB"/>
    <w:rsid w:val="00A2458E"/>
    <w:rsid w:val="00A24636"/>
    <w:rsid w:val="00A248D7"/>
    <w:rsid w:val="00A24D23"/>
    <w:rsid w:val="00A24E4C"/>
    <w:rsid w:val="00A25193"/>
    <w:rsid w:val="00A25627"/>
    <w:rsid w:val="00A2567B"/>
    <w:rsid w:val="00A25826"/>
    <w:rsid w:val="00A26151"/>
    <w:rsid w:val="00A26303"/>
    <w:rsid w:val="00A26998"/>
    <w:rsid w:val="00A26A05"/>
    <w:rsid w:val="00A26BC4"/>
    <w:rsid w:val="00A275D4"/>
    <w:rsid w:val="00A276E6"/>
    <w:rsid w:val="00A27CF2"/>
    <w:rsid w:val="00A30015"/>
    <w:rsid w:val="00A303BA"/>
    <w:rsid w:val="00A304E1"/>
    <w:rsid w:val="00A30798"/>
    <w:rsid w:val="00A30A36"/>
    <w:rsid w:val="00A30B5D"/>
    <w:rsid w:val="00A30BDF"/>
    <w:rsid w:val="00A310AF"/>
    <w:rsid w:val="00A310E1"/>
    <w:rsid w:val="00A31785"/>
    <w:rsid w:val="00A317F9"/>
    <w:rsid w:val="00A31987"/>
    <w:rsid w:val="00A31AE0"/>
    <w:rsid w:val="00A31B92"/>
    <w:rsid w:val="00A31DEA"/>
    <w:rsid w:val="00A32055"/>
    <w:rsid w:val="00A320A9"/>
    <w:rsid w:val="00A32170"/>
    <w:rsid w:val="00A323DA"/>
    <w:rsid w:val="00A32450"/>
    <w:rsid w:val="00A32649"/>
    <w:rsid w:val="00A3272A"/>
    <w:rsid w:val="00A3282B"/>
    <w:rsid w:val="00A32B15"/>
    <w:rsid w:val="00A32C50"/>
    <w:rsid w:val="00A32E01"/>
    <w:rsid w:val="00A32E66"/>
    <w:rsid w:val="00A330DA"/>
    <w:rsid w:val="00A330EB"/>
    <w:rsid w:val="00A33208"/>
    <w:rsid w:val="00A33365"/>
    <w:rsid w:val="00A33A57"/>
    <w:rsid w:val="00A33C1E"/>
    <w:rsid w:val="00A33CE1"/>
    <w:rsid w:val="00A3452F"/>
    <w:rsid w:val="00A34858"/>
    <w:rsid w:val="00A3485C"/>
    <w:rsid w:val="00A3559A"/>
    <w:rsid w:val="00A3593F"/>
    <w:rsid w:val="00A3596B"/>
    <w:rsid w:val="00A35D2D"/>
    <w:rsid w:val="00A35E33"/>
    <w:rsid w:val="00A362CA"/>
    <w:rsid w:val="00A364BD"/>
    <w:rsid w:val="00A3686F"/>
    <w:rsid w:val="00A36C25"/>
    <w:rsid w:val="00A36E69"/>
    <w:rsid w:val="00A36EC2"/>
    <w:rsid w:val="00A3707C"/>
    <w:rsid w:val="00A3713C"/>
    <w:rsid w:val="00A376F1"/>
    <w:rsid w:val="00A37794"/>
    <w:rsid w:val="00A379C8"/>
    <w:rsid w:val="00A37F20"/>
    <w:rsid w:val="00A40162"/>
    <w:rsid w:val="00A4043D"/>
    <w:rsid w:val="00A4049F"/>
    <w:rsid w:val="00A409E9"/>
    <w:rsid w:val="00A40AF4"/>
    <w:rsid w:val="00A41093"/>
    <w:rsid w:val="00A412C7"/>
    <w:rsid w:val="00A41374"/>
    <w:rsid w:val="00A415E1"/>
    <w:rsid w:val="00A41A90"/>
    <w:rsid w:val="00A42306"/>
    <w:rsid w:val="00A42458"/>
    <w:rsid w:val="00A425A6"/>
    <w:rsid w:val="00A425AE"/>
    <w:rsid w:val="00A42AB1"/>
    <w:rsid w:val="00A42B63"/>
    <w:rsid w:val="00A42CE8"/>
    <w:rsid w:val="00A42E21"/>
    <w:rsid w:val="00A42EC4"/>
    <w:rsid w:val="00A43088"/>
    <w:rsid w:val="00A431AC"/>
    <w:rsid w:val="00A433EA"/>
    <w:rsid w:val="00A434B2"/>
    <w:rsid w:val="00A43770"/>
    <w:rsid w:val="00A438A3"/>
    <w:rsid w:val="00A438CE"/>
    <w:rsid w:val="00A43E50"/>
    <w:rsid w:val="00A442BF"/>
    <w:rsid w:val="00A449A9"/>
    <w:rsid w:val="00A44ED5"/>
    <w:rsid w:val="00A44F06"/>
    <w:rsid w:val="00A451E6"/>
    <w:rsid w:val="00A453ED"/>
    <w:rsid w:val="00A4541E"/>
    <w:rsid w:val="00A455AA"/>
    <w:rsid w:val="00A45713"/>
    <w:rsid w:val="00A4577B"/>
    <w:rsid w:val="00A45E6E"/>
    <w:rsid w:val="00A45ED8"/>
    <w:rsid w:val="00A461D3"/>
    <w:rsid w:val="00A462F4"/>
    <w:rsid w:val="00A466E5"/>
    <w:rsid w:val="00A467AC"/>
    <w:rsid w:val="00A4680A"/>
    <w:rsid w:val="00A4685D"/>
    <w:rsid w:val="00A4686A"/>
    <w:rsid w:val="00A46CC1"/>
    <w:rsid w:val="00A478C0"/>
    <w:rsid w:val="00A4792B"/>
    <w:rsid w:val="00A47A4E"/>
    <w:rsid w:val="00A47DE2"/>
    <w:rsid w:val="00A47F39"/>
    <w:rsid w:val="00A50201"/>
    <w:rsid w:val="00A50359"/>
    <w:rsid w:val="00A5044F"/>
    <w:rsid w:val="00A50991"/>
    <w:rsid w:val="00A50AC3"/>
    <w:rsid w:val="00A50FC2"/>
    <w:rsid w:val="00A510A9"/>
    <w:rsid w:val="00A51B43"/>
    <w:rsid w:val="00A51CCC"/>
    <w:rsid w:val="00A5244A"/>
    <w:rsid w:val="00A52477"/>
    <w:rsid w:val="00A5249B"/>
    <w:rsid w:val="00A52546"/>
    <w:rsid w:val="00A525E1"/>
    <w:rsid w:val="00A53078"/>
    <w:rsid w:val="00A53E2C"/>
    <w:rsid w:val="00A5407F"/>
    <w:rsid w:val="00A540DB"/>
    <w:rsid w:val="00A54134"/>
    <w:rsid w:val="00A541A2"/>
    <w:rsid w:val="00A5424B"/>
    <w:rsid w:val="00A54274"/>
    <w:rsid w:val="00A543CB"/>
    <w:rsid w:val="00A54840"/>
    <w:rsid w:val="00A548DC"/>
    <w:rsid w:val="00A54A12"/>
    <w:rsid w:val="00A54BA1"/>
    <w:rsid w:val="00A54E41"/>
    <w:rsid w:val="00A54EBA"/>
    <w:rsid w:val="00A55101"/>
    <w:rsid w:val="00A551CA"/>
    <w:rsid w:val="00A55209"/>
    <w:rsid w:val="00A554CE"/>
    <w:rsid w:val="00A5565B"/>
    <w:rsid w:val="00A55B26"/>
    <w:rsid w:val="00A55E58"/>
    <w:rsid w:val="00A56582"/>
    <w:rsid w:val="00A5677B"/>
    <w:rsid w:val="00A56C0F"/>
    <w:rsid w:val="00A56C4D"/>
    <w:rsid w:val="00A56C9A"/>
    <w:rsid w:val="00A5731E"/>
    <w:rsid w:val="00A57665"/>
    <w:rsid w:val="00A577C9"/>
    <w:rsid w:val="00A57C3A"/>
    <w:rsid w:val="00A57FDE"/>
    <w:rsid w:val="00A602B6"/>
    <w:rsid w:val="00A60302"/>
    <w:rsid w:val="00A60921"/>
    <w:rsid w:val="00A609BB"/>
    <w:rsid w:val="00A609CF"/>
    <w:rsid w:val="00A60D74"/>
    <w:rsid w:val="00A6151A"/>
    <w:rsid w:val="00A61994"/>
    <w:rsid w:val="00A61C91"/>
    <w:rsid w:val="00A621EA"/>
    <w:rsid w:val="00A6232A"/>
    <w:rsid w:val="00A623F4"/>
    <w:rsid w:val="00A623F8"/>
    <w:rsid w:val="00A63367"/>
    <w:rsid w:val="00A63858"/>
    <w:rsid w:val="00A6388D"/>
    <w:rsid w:val="00A647D6"/>
    <w:rsid w:val="00A64BBB"/>
    <w:rsid w:val="00A64FB2"/>
    <w:rsid w:val="00A64FC4"/>
    <w:rsid w:val="00A6510B"/>
    <w:rsid w:val="00A653DF"/>
    <w:rsid w:val="00A6557D"/>
    <w:rsid w:val="00A65744"/>
    <w:rsid w:val="00A65BDF"/>
    <w:rsid w:val="00A65C59"/>
    <w:rsid w:val="00A66083"/>
    <w:rsid w:val="00A66260"/>
    <w:rsid w:val="00A66329"/>
    <w:rsid w:val="00A6674A"/>
    <w:rsid w:val="00A66F45"/>
    <w:rsid w:val="00A67691"/>
    <w:rsid w:val="00A676F0"/>
    <w:rsid w:val="00A677B1"/>
    <w:rsid w:val="00A67A4B"/>
    <w:rsid w:val="00A705B7"/>
    <w:rsid w:val="00A7065C"/>
    <w:rsid w:val="00A7066D"/>
    <w:rsid w:val="00A707B3"/>
    <w:rsid w:val="00A708AD"/>
    <w:rsid w:val="00A70ADF"/>
    <w:rsid w:val="00A711AF"/>
    <w:rsid w:val="00A7121A"/>
    <w:rsid w:val="00A71363"/>
    <w:rsid w:val="00A7152F"/>
    <w:rsid w:val="00A7169F"/>
    <w:rsid w:val="00A717C1"/>
    <w:rsid w:val="00A71C19"/>
    <w:rsid w:val="00A71CA8"/>
    <w:rsid w:val="00A71DF3"/>
    <w:rsid w:val="00A723B6"/>
    <w:rsid w:val="00A72427"/>
    <w:rsid w:val="00A726A4"/>
    <w:rsid w:val="00A72B32"/>
    <w:rsid w:val="00A72B68"/>
    <w:rsid w:val="00A72DE9"/>
    <w:rsid w:val="00A72F80"/>
    <w:rsid w:val="00A73885"/>
    <w:rsid w:val="00A73A35"/>
    <w:rsid w:val="00A73E22"/>
    <w:rsid w:val="00A73F65"/>
    <w:rsid w:val="00A740B0"/>
    <w:rsid w:val="00A743C1"/>
    <w:rsid w:val="00A7448D"/>
    <w:rsid w:val="00A74497"/>
    <w:rsid w:val="00A74844"/>
    <w:rsid w:val="00A749BC"/>
    <w:rsid w:val="00A74C85"/>
    <w:rsid w:val="00A74CA8"/>
    <w:rsid w:val="00A74CC2"/>
    <w:rsid w:val="00A74CF9"/>
    <w:rsid w:val="00A7524A"/>
    <w:rsid w:val="00A753E7"/>
    <w:rsid w:val="00A7553B"/>
    <w:rsid w:val="00A75598"/>
    <w:rsid w:val="00A75847"/>
    <w:rsid w:val="00A759E1"/>
    <w:rsid w:val="00A75A11"/>
    <w:rsid w:val="00A75A59"/>
    <w:rsid w:val="00A75ABC"/>
    <w:rsid w:val="00A75B39"/>
    <w:rsid w:val="00A75E89"/>
    <w:rsid w:val="00A75FC7"/>
    <w:rsid w:val="00A761A8"/>
    <w:rsid w:val="00A761D5"/>
    <w:rsid w:val="00A76359"/>
    <w:rsid w:val="00A768AD"/>
    <w:rsid w:val="00A76AA7"/>
    <w:rsid w:val="00A76E74"/>
    <w:rsid w:val="00A770BA"/>
    <w:rsid w:val="00A77174"/>
    <w:rsid w:val="00A77218"/>
    <w:rsid w:val="00A772CA"/>
    <w:rsid w:val="00A77511"/>
    <w:rsid w:val="00A77627"/>
    <w:rsid w:val="00A77A6A"/>
    <w:rsid w:val="00A77AE9"/>
    <w:rsid w:val="00A77C88"/>
    <w:rsid w:val="00A800C8"/>
    <w:rsid w:val="00A8016F"/>
    <w:rsid w:val="00A803EA"/>
    <w:rsid w:val="00A805C4"/>
    <w:rsid w:val="00A80629"/>
    <w:rsid w:val="00A8082A"/>
    <w:rsid w:val="00A80C97"/>
    <w:rsid w:val="00A80C9F"/>
    <w:rsid w:val="00A810AC"/>
    <w:rsid w:val="00A813B6"/>
    <w:rsid w:val="00A813C8"/>
    <w:rsid w:val="00A819EB"/>
    <w:rsid w:val="00A81C8A"/>
    <w:rsid w:val="00A81DE2"/>
    <w:rsid w:val="00A81FB2"/>
    <w:rsid w:val="00A826CD"/>
    <w:rsid w:val="00A82728"/>
    <w:rsid w:val="00A82857"/>
    <w:rsid w:val="00A82929"/>
    <w:rsid w:val="00A82A3C"/>
    <w:rsid w:val="00A82C3F"/>
    <w:rsid w:val="00A8305D"/>
    <w:rsid w:val="00A83BB9"/>
    <w:rsid w:val="00A83E08"/>
    <w:rsid w:val="00A8427C"/>
    <w:rsid w:val="00A843EF"/>
    <w:rsid w:val="00A84E16"/>
    <w:rsid w:val="00A85322"/>
    <w:rsid w:val="00A8564B"/>
    <w:rsid w:val="00A85753"/>
    <w:rsid w:val="00A85759"/>
    <w:rsid w:val="00A85764"/>
    <w:rsid w:val="00A857E3"/>
    <w:rsid w:val="00A85A7F"/>
    <w:rsid w:val="00A85B2E"/>
    <w:rsid w:val="00A85C90"/>
    <w:rsid w:val="00A85CAA"/>
    <w:rsid w:val="00A85EAC"/>
    <w:rsid w:val="00A86567"/>
    <w:rsid w:val="00A86843"/>
    <w:rsid w:val="00A86C85"/>
    <w:rsid w:val="00A86CFF"/>
    <w:rsid w:val="00A86F0D"/>
    <w:rsid w:val="00A8702F"/>
    <w:rsid w:val="00A870C5"/>
    <w:rsid w:val="00A870D2"/>
    <w:rsid w:val="00A873C8"/>
    <w:rsid w:val="00A8770B"/>
    <w:rsid w:val="00A877EF"/>
    <w:rsid w:val="00A87973"/>
    <w:rsid w:val="00A87A0A"/>
    <w:rsid w:val="00A87C4F"/>
    <w:rsid w:val="00A9014A"/>
    <w:rsid w:val="00A90364"/>
    <w:rsid w:val="00A90745"/>
    <w:rsid w:val="00A9099E"/>
    <w:rsid w:val="00A90AB1"/>
    <w:rsid w:val="00A91243"/>
    <w:rsid w:val="00A91596"/>
    <w:rsid w:val="00A91C94"/>
    <w:rsid w:val="00A91DA6"/>
    <w:rsid w:val="00A91EFD"/>
    <w:rsid w:val="00A9228E"/>
    <w:rsid w:val="00A92984"/>
    <w:rsid w:val="00A92A3C"/>
    <w:rsid w:val="00A92A45"/>
    <w:rsid w:val="00A92E69"/>
    <w:rsid w:val="00A93129"/>
    <w:rsid w:val="00A93149"/>
    <w:rsid w:val="00A933DF"/>
    <w:rsid w:val="00A93482"/>
    <w:rsid w:val="00A93795"/>
    <w:rsid w:val="00A94127"/>
    <w:rsid w:val="00A9421D"/>
    <w:rsid w:val="00A94463"/>
    <w:rsid w:val="00A944E9"/>
    <w:rsid w:val="00A9483B"/>
    <w:rsid w:val="00A94A04"/>
    <w:rsid w:val="00A94B61"/>
    <w:rsid w:val="00A94D3B"/>
    <w:rsid w:val="00A959F9"/>
    <w:rsid w:val="00A95E13"/>
    <w:rsid w:val="00A95E8C"/>
    <w:rsid w:val="00A95F63"/>
    <w:rsid w:val="00A9623C"/>
    <w:rsid w:val="00A9648E"/>
    <w:rsid w:val="00A96841"/>
    <w:rsid w:val="00A96B47"/>
    <w:rsid w:val="00A96C1D"/>
    <w:rsid w:val="00A96E2D"/>
    <w:rsid w:val="00A9738A"/>
    <w:rsid w:val="00A9795E"/>
    <w:rsid w:val="00A97B54"/>
    <w:rsid w:val="00A97DE6"/>
    <w:rsid w:val="00AA020E"/>
    <w:rsid w:val="00AA050B"/>
    <w:rsid w:val="00AA056D"/>
    <w:rsid w:val="00AA059D"/>
    <w:rsid w:val="00AA05FE"/>
    <w:rsid w:val="00AA078F"/>
    <w:rsid w:val="00AA0799"/>
    <w:rsid w:val="00AA0A12"/>
    <w:rsid w:val="00AA0BD8"/>
    <w:rsid w:val="00AA0DDB"/>
    <w:rsid w:val="00AA0EFE"/>
    <w:rsid w:val="00AA1177"/>
    <w:rsid w:val="00AA1337"/>
    <w:rsid w:val="00AA1580"/>
    <w:rsid w:val="00AA1B6C"/>
    <w:rsid w:val="00AA1FE5"/>
    <w:rsid w:val="00AA2E56"/>
    <w:rsid w:val="00AA30AE"/>
    <w:rsid w:val="00AA3732"/>
    <w:rsid w:val="00AA3CDB"/>
    <w:rsid w:val="00AA473A"/>
    <w:rsid w:val="00AA4763"/>
    <w:rsid w:val="00AA49F0"/>
    <w:rsid w:val="00AA4B07"/>
    <w:rsid w:val="00AA4B3A"/>
    <w:rsid w:val="00AA508C"/>
    <w:rsid w:val="00AA522E"/>
    <w:rsid w:val="00AA557A"/>
    <w:rsid w:val="00AA5B7D"/>
    <w:rsid w:val="00AA5DAC"/>
    <w:rsid w:val="00AA6A04"/>
    <w:rsid w:val="00AA6B9B"/>
    <w:rsid w:val="00AA6DD7"/>
    <w:rsid w:val="00AA6EA0"/>
    <w:rsid w:val="00AA702F"/>
    <w:rsid w:val="00AA7035"/>
    <w:rsid w:val="00AA7350"/>
    <w:rsid w:val="00AA7A7B"/>
    <w:rsid w:val="00AA7AD1"/>
    <w:rsid w:val="00AB02F0"/>
    <w:rsid w:val="00AB07C4"/>
    <w:rsid w:val="00AB0E11"/>
    <w:rsid w:val="00AB0FBE"/>
    <w:rsid w:val="00AB10E3"/>
    <w:rsid w:val="00AB1106"/>
    <w:rsid w:val="00AB1580"/>
    <w:rsid w:val="00AB1C51"/>
    <w:rsid w:val="00AB1EE7"/>
    <w:rsid w:val="00AB1EF1"/>
    <w:rsid w:val="00AB1F60"/>
    <w:rsid w:val="00AB202C"/>
    <w:rsid w:val="00AB2973"/>
    <w:rsid w:val="00AB2A14"/>
    <w:rsid w:val="00AB2EEC"/>
    <w:rsid w:val="00AB319B"/>
    <w:rsid w:val="00AB3738"/>
    <w:rsid w:val="00AB387B"/>
    <w:rsid w:val="00AB38E1"/>
    <w:rsid w:val="00AB3E66"/>
    <w:rsid w:val="00AB3F3D"/>
    <w:rsid w:val="00AB4094"/>
    <w:rsid w:val="00AB4184"/>
    <w:rsid w:val="00AB4341"/>
    <w:rsid w:val="00AB43DA"/>
    <w:rsid w:val="00AB45DD"/>
    <w:rsid w:val="00AB486B"/>
    <w:rsid w:val="00AB4C48"/>
    <w:rsid w:val="00AB4E4C"/>
    <w:rsid w:val="00AB4F79"/>
    <w:rsid w:val="00AB5832"/>
    <w:rsid w:val="00AB5B8F"/>
    <w:rsid w:val="00AB5C03"/>
    <w:rsid w:val="00AB5DEA"/>
    <w:rsid w:val="00AB61BF"/>
    <w:rsid w:val="00AB6241"/>
    <w:rsid w:val="00AB6520"/>
    <w:rsid w:val="00AB6E72"/>
    <w:rsid w:val="00AB6FF3"/>
    <w:rsid w:val="00AB7119"/>
    <w:rsid w:val="00AB75D7"/>
    <w:rsid w:val="00AB79F0"/>
    <w:rsid w:val="00AB7ACC"/>
    <w:rsid w:val="00AB7C2A"/>
    <w:rsid w:val="00AB7C3A"/>
    <w:rsid w:val="00AB7C4A"/>
    <w:rsid w:val="00AC0152"/>
    <w:rsid w:val="00AC0247"/>
    <w:rsid w:val="00AC04F3"/>
    <w:rsid w:val="00AC093F"/>
    <w:rsid w:val="00AC09D3"/>
    <w:rsid w:val="00AC0A0B"/>
    <w:rsid w:val="00AC0CDE"/>
    <w:rsid w:val="00AC12F1"/>
    <w:rsid w:val="00AC1466"/>
    <w:rsid w:val="00AC18C8"/>
    <w:rsid w:val="00AC1C70"/>
    <w:rsid w:val="00AC1F4D"/>
    <w:rsid w:val="00AC1FAF"/>
    <w:rsid w:val="00AC266C"/>
    <w:rsid w:val="00AC28AA"/>
    <w:rsid w:val="00AC2C33"/>
    <w:rsid w:val="00AC3032"/>
    <w:rsid w:val="00AC30FE"/>
    <w:rsid w:val="00AC31D4"/>
    <w:rsid w:val="00AC36E9"/>
    <w:rsid w:val="00AC390A"/>
    <w:rsid w:val="00AC3A23"/>
    <w:rsid w:val="00AC3A75"/>
    <w:rsid w:val="00AC3DDA"/>
    <w:rsid w:val="00AC3F35"/>
    <w:rsid w:val="00AC4038"/>
    <w:rsid w:val="00AC4117"/>
    <w:rsid w:val="00AC4173"/>
    <w:rsid w:val="00AC47D3"/>
    <w:rsid w:val="00AC4A87"/>
    <w:rsid w:val="00AC4C9A"/>
    <w:rsid w:val="00AC4E9D"/>
    <w:rsid w:val="00AC4EAD"/>
    <w:rsid w:val="00AC5101"/>
    <w:rsid w:val="00AC5363"/>
    <w:rsid w:val="00AC5AD3"/>
    <w:rsid w:val="00AC6329"/>
    <w:rsid w:val="00AC6399"/>
    <w:rsid w:val="00AC6566"/>
    <w:rsid w:val="00AC67B1"/>
    <w:rsid w:val="00AC6ACE"/>
    <w:rsid w:val="00AC6F89"/>
    <w:rsid w:val="00AC7003"/>
    <w:rsid w:val="00AC709F"/>
    <w:rsid w:val="00AC71ED"/>
    <w:rsid w:val="00AC78E2"/>
    <w:rsid w:val="00AC795E"/>
    <w:rsid w:val="00AC7A5F"/>
    <w:rsid w:val="00AC7D80"/>
    <w:rsid w:val="00AC7F2B"/>
    <w:rsid w:val="00AD020A"/>
    <w:rsid w:val="00AD0316"/>
    <w:rsid w:val="00AD03F3"/>
    <w:rsid w:val="00AD058B"/>
    <w:rsid w:val="00AD077C"/>
    <w:rsid w:val="00AD1122"/>
    <w:rsid w:val="00AD11C4"/>
    <w:rsid w:val="00AD11C5"/>
    <w:rsid w:val="00AD1591"/>
    <w:rsid w:val="00AD1A3D"/>
    <w:rsid w:val="00AD1BCA"/>
    <w:rsid w:val="00AD1E8F"/>
    <w:rsid w:val="00AD2156"/>
    <w:rsid w:val="00AD223E"/>
    <w:rsid w:val="00AD23F9"/>
    <w:rsid w:val="00AD2684"/>
    <w:rsid w:val="00AD2A57"/>
    <w:rsid w:val="00AD2E21"/>
    <w:rsid w:val="00AD2E73"/>
    <w:rsid w:val="00AD3068"/>
    <w:rsid w:val="00AD31AE"/>
    <w:rsid w:val="00AD373B"/>
    <w:rsid w:val="00AD3868"/>
    <w:rsid w:val="00AD3AF6"/>
    <w:rsid w:val="00AD3D2E"/>
    <w:rsid w:val="00AD3D9F"/>
    <w:rsid w:val="00AD3F8F"/>
    <w:rsid w:val="00AD3FBC"/>
    <w:rsid w:val="00AD4130"/>
    <w:rsid w:val="00AD4829"/>
    <w:rsid w:val="00AD4964"/>
    <w:rsid w:val="00AD5042"/>
    <w:rsid w:val="00AD54BB"/>
    <w:rsid w:val="00AD553D"/>
    <w:rsid w:val="00AD5540"/>
    <w:rsid w:val="00AD58FF"/>
    <w:rsid w:val="00AD5979"/>
    <w:rsid w:val="00AD5AAC"/>
    <w:rsid w:val="00AD5BA0"/>
    <w:rsid w:val="00AD6190"/>
    <w:rsid w:val="00AD67DB"/>
    <w:rsid w:val="00AD6A5F"/>
    <w:rsid w:val="00AD6A6D"/>
    <w:rsid w:val="00AD6CFB"/>
    <w:rsid w:val="00AD6E4B"/>
    <w:rsid w:val="00AD7B91"/>
    <w:rsid w:val="00AD7F9B"/>
    <w:rsid w:val="00AE00AE"/>
    <w:rsid w:val="00AE0233"/>
    <w:rsid w:val="00AE0430"/>
    <w:rsid w:val="00AE04EB"/>
    <w:rsid w:val="00AE0528"/>
    <w:rsid w:val="00AE06FB"/>
    <w:rsid w:val="00AE08B3"/>
    <w:rsid w:val="00AE0B88"/>
    <w:rsid w:val="00AE0BA7"/>
    <w:rsid w:val="00AE0D02"/>
    <w:rsid w:val="00AE1255"/>
    <w:rsid w:val="00AE155A"/>
    <w:rsid w:val="00AE1706"/>
    <w:rsid w:val="00AE1B0C"/>
    <w:rsid w:val="00AE1CCB"/>
    <w:rsid w:val="00AE2239"/>
    <w:rsid w:val="00AE24E3"/>
    <w:rsid w:val="00AE2503"/>
    <w:rsid w:val="00AE28A3"/>
    <w:rsid w:val="00AE2D88"/>
    <w:rsid w:val="00AE30F0"/>
    <w:rsid w:val="00AE3352"/>
    <w:rsid w:val="00AE3707"/>
    <w:rsid w:val="00AE37AE"/>
    <w:rsid w:val="00AE3893"/>
    <w:rsid w:val="00AE3FA6"/>
    <w:rsid w:val="00AE4B9D"/>
    <w:rsid w:val="00AE4C15"/>
    <w:rsid w:val="00AE4C50"/>
    <w:rsid w:val="00AE507A"/>
    <w:rsid w:val="00AE5350"/>
    <w:rsid w:val="00AE59B1"/>
    <w:rsid w:val="00AE5B3C"/>
    <w:rsid w:val="00AE5DA7"/>
    <w:rsid w:val="00AE5F86"/>
    <w:rsid w:val="00AE601A"/>
    <w:rsid w:val="00AE611E"/>
    <w:rsid w:val="00AE61C5"/>
    <w:rsid w:val="00AE6226"/>
    <w:rsid w:val="00AE63BE"/>
    <w:rsid w:val="00AE662C"/>
    <w:rsid w:val="00AE6C66"/>
    <w:rsid w:val="00AE6C93"/>
    <w:rsid w:val="00AE6FF5"/>
    <w:rsid w:val="00AE7014"/>
    <w:rsid w:val="00AE70F4"/>
    <w:rsid w:val="00AE73C6"/>
    <w:rsid w:val="00AE7448"/>
    <w:rsid w:val="00AE79BE"/>
    <w:rsid w:val="00AE7B66"/>
    <w:rsid w:val="00AE7C50"/>
    <w:rsid w:val="00AF032D"/>
    <w:rsid w:val="00AF03B1"/>
    <w:rsid w:val="00AF070D"/>
    <w:rsid w:val="00AF09EF"/>
    <w:rsid w:val="00AF0BED"/>
    <w:rsid w:val="00AF1022"/>
    <w:rsid w:val="00AF19C2"/>
    <w:rsid w:val="00AF1B4E"/>
    <w:rsid w:val="00AF1CBB"/>
    <w:rsid w:val="00AF1E83"/>
    <w:rsid w:val="00AF1F14"/>
    <w:rsid w:val="00AF1F5C"/>
    <w:rsid w:val="00AF23C4"/>
    <w:rsid w:val="00AF24D8"/>
    <w:rsid w:val="00AF280D"/>
    <w:rsid w:val="00AF2AE4"/>
    <w:rsid w:val="00AF2EAF"/>
    <w:rsid w:val="00AF30AA"/>
    <w:rsid w:val="00AF327D"/>
    <w:rsid w:val="00AF3865"/>
    <w:rsid w:val="00AF38FB"/>
    <w:rsid w:val="00AF3994"/>
    <w:rsid w:val="00AF41DB"/>
    <w:rsid w:val="00AF42D9"/>
    <w:rsid w:val="00AF43A7"/>
    <w:rsid w:val="00AF4532"/>
    <w:rsid w:val="00AF4AFD"/>
    <w:rsid w:val="00AF4C79"/>
    <w:rsid w:val="00AF4D5B"/>
    <w:rsid w:val="00AF4DD2"/>
    <w:rsid w:val="00AF4E06"/>
    <w:rsid w:val="00AF4E35"/>
    <w:rsid w:val="00AF4EAF"/>
    <w:rsid w:val="00AF4F1F"/>
    <w:rsid w:val="00AF4FB5"/>
    <w:rsid w:val="00AF5572"/>
    <w:rsid w:val="00AF591C"/>
    <w:rsid w:val="00AF5AA5"/>
    <w:rsid w:val="00AF5D4D"/>
    <w:rsid w:val="00AF6059"/>
    <w:rsid w:val="00AF60AB"/>
    <w:rsid w:val="00AF6151"/>
    <w:rsid w:val="00AF6409"/>
    <w:rsid w:val="00AF659B"/>
    <w:rsid w:val="00AF662A"/>
    <w:rsid w:val="00AF6820"/>
    <w:rsid w:val="00AF694A"/>
    <w:rsid w:val="00AF69DD"/>
    <w:rsid w:val="00AF6D59"/>
    <w:rsid w:val="00AF7037"/>
    <w:rsid w:val="00AF708E"/>
    <w:rsid w:val="00AF727C"/>
    <w:rsid w:val="00AF75F0"/>
    <w:rsid w:val="00AF7758"/>
    <w:rsid w:val="00AF790B"/>
    <w:rsid w:val="00AF79EE"/>
    <w:rsid w:val="00AF7CAB"/>
    <w:rsid w:val="00AF7D0C"/>
    <w:rsid w:val="00B00D7E"/>
    <w:rsid w:val="00B00F53"/>
    <w:rsid w:val="00B00FF4"/>
    <w:rsid w:val="00B01066"/>
    <w:rsid w:val="00B010DF"/>
    <w:rsid w:val="00B01118"/>
    <w:rsid w:val="00B0128A"/>
    <w:rsid w:val="00B01BD2"/>
    <w:rsid w:val="00B01FA7"/>
    <w:rsid w:val="00B0228E"/>
    <w:rsid w:val="00B02A9A"/>
    <w:rsid w:val="00B02B3C"/>
    <w:rsid w:val="00B02F26"/>
    <w:rsid w:val="00B032B5"/>
    <w:rsid w:val="00B032C4"/>
    <w:rsid w:val="00B0354A"/>
    <w:rsid w:val="00B035EC"/>
    <w:rsid w:val="00B03AB0"/>
    <w:rsid w:val="00B03AB3"/>
    <w:rsid w:val="00B03D98"/>
    <w:rsid w:val="00B03D9C"/>
    <w:rsid w:val="00B04163"/>
    <w:rsid w:val="00B04328"/>
    <w:rsid w:val="00B043E2"/>
    <w:rsid w:val="00B04737"/>
    <w:rsid w:val="00B04E3F"/>
    <w:rsid w:val="00B0505E"/>
    <w:rsid w:val="00B050CB"/>
    <w:rsid w:val="00B057BB"/>
    <w:rsid w:val="00B05887"/>
    <w:rsid w:val="00B058E7"/>
    <w:rsid w:val="00B05B08"/>
    <w:rsid w:val="00B05BD3"/>
    <w:rsid w:val="00B05D89"/>
    <w:rsid w:val="00B061D9"/>
    <w:rsid w:val="00B061DC"/>
    <w:rsid w:val="00B061FF"/>
    <w:rsid w:val="00B06851"/>
    <w:rsid w:val="00B0686F"/>
    <w:rsid w:val="00B068A5"/>
    <w:rsid w:val="00B06933"/>
    <w:rsid w:val="00B069F6"/>
    <w:rsid w:val="00B06A10"/>
    <w:rsid w:val="00B06D93"/>
    <w:rsid w:val="00B06EA1"/>
    <w:rsid w:val="00B071E2"/>
    <w:rsid w:val="00B07273"/>
    <w:rsid w:val="00B074DA"/>
    <w:rsid w:val="00B076D4"/>
    <w:rsid w:val="00B07B10"/>
    <w:rsid w:val="00B07C85"/>
    <w:rsid w:val="00B10263"/>
    <w:rsid w:val="00B102F0"/>
    <w:rsid w:val="00B1030C"/>
    <w:rsid w:val="00B103F9"/>
    <w:rsid w:val="00B106BD"/>
    <w:rsid w:val="00B10713"/>
    <w:rsid w:val="00B108A1"/>
    <w:rsid w:val="00B109E1"/>
    <w:rsid w:val="00B10B81"/>
    <w:rsid w:val="00B1114B"/>
    <w:rsid w:val="00B11455"/>
    <w:rsid w:val="00B11609"/>
    <w:rsid w:val="00B11AA4"/>
    <w:rsid w:val="00B11AED"/>
    <w:rsid w:val="00B11C68"/>
    <w:rsid w:val="00B11CF7"/>
    <w:rsid w:val="00B11FA6"/>
    <w:rsid w:val="00B127B6"/>
    <w:rsid w:val="00B1298C"/>
    <w:rsid w:val="00B129C5"/>
    <w:rsid w:val="00B12EB5"/>
    <w:rsid w:val="00B134EA"/>
    <w:rsid w:val="00B1352F"/>
    <w:rsid w:val="00B13819"/>
    <w:rsid w:val="00B139EA"/>
    <w:rsid w:val="00B13B81"/>
    <w:rsid w:val="00B13E8A"/>
    <w:rsid w:val="00B13FCC"/>
    <w:rsid w:val="00B14047"/>
    <w:rsid w:val="00B1407C"/>
    <w:rsid w:val="00B14162"/>
    <w:rsid w:val="00B1426F"/>
    <w:rsid w:val="00B14ADD"/>
    <w:rsid w:val="00B151ED"/>
    <w:rsid w:val="00B1566C"/>
    <w:rsid w:val="00B15D20"/>
    <w:rsid w:val="00B15E70"/>
    <w:rsid w:val="00B1603B"/>
    <w:rsid w:val="00B164D5"/>
    <w:rsid w:val="00B1693D"/>
    <w:rsid w:val="00B16D0C"/>
    <w:rsid w:val="00B16D4D"/>
    <w:rsid w:val="00B171FA"/>
    <w:rsid w:val="00B175F4"/>
    <w:rsid w:val="00B1779C"/>
    <w:rsid w:val="00B17944"/>
    <w:rsid w:val="00B17B5E"/>
    <w:rsid w:val="00B17D43"/>
    <w:rsid w:val="00B17D83"/>
    <w:rsid w:val="00B17E89"/>
    <w:rsid w:val="00B201AC"/>
    <w:rsid w:val="00B204D6"/>
    <w:rsid w:val="00B20C6B"/>
    <w:rsid w:val="00B20D96"/>
    <w:rsid w:val="00B20DC2"/>
    <w:rsid w:val="00B20E52"/>
    <w:rsid w:val="00B21144"/>
    <w:rsid w:val="00B21465"/>
    <w:rsid w:val="00B214EA"/>
    <w:rsid w:val="00B2187A"/>
    <w:rsid w:val="00B21BFA"/>
    <w:rsid w:val="00B21C75"/>
    <w:rsid w:val="00B21D84"/>
    <w:rsid w:val="00B21F46"/>
    <w:rsid w:val="00B227A6"/>
    <w:rsid w:val="00B22A11"/>
    <w:rsid w:val="00B22A50"/>
    <w:rsid w:val="00B22BD9"/>
    <w:rsid w:val="00B22E4B"/>
    <w:rsid w:val="00B22F97"/>
    <w:rsid w:val="00B23721"/>
    <w:rsid w:val="00B2379B"/>
    <w:rsid w:val="00B238A2"/>
    <w:rsid w:val="00B23AC3"/>
    <w:rsid w:val="00B23FAB"/>
    <w:rsid w:val="00B2419E"/>
    <w:rsid w:val="00B243ED"/>
    <w:rsid w:val="00B2449B"/>
    <w:rsid w:val="00B244F0"/>
    <w:rsid w:val="00B2454F"/>
    <w:rsid w:val="00B2488E"/>
    <w:rsid w:val="00B24929"/>
    <w:rsid w:val="00B24D9E"/>
    <w:rsid w:val="00B24F58"/>
    <w:rsid w:val="00B24FA2"/>
    <w:rsid w:val="00B2534D"/>
    <w:rsid w:val="00B253D2"/>
    <w:rsid w:val="00B2553A"/>
    <w:rsid w:val="00B25BFA"/>
    <w:rsid w:val="00B25DC3"/>
    <w:rsid w:val="00B25F6B"/>
    <w:rsid w:val="00B260BD"/>
    <w:rsid w:val="00B26688"/>
    <w:rsid w:val="00B26924"/>
    <w:rsid w:val="00B26AA7"/>
    <w:rsid w:val="00B26E28"/>
    <w:rsid w:val="00B27004"/>
    <w:rsid w:val="00B2738D"/>
    <w:rsid w:val="00B274D8"/>
    <w:rsid w:val="00B27522"/>
    <w:rsid w:val="00B27604"/>
    <w:rsid w:val="00B2764D"/>
    <w:rsid w:val="00B27794"/>
    <w:rsid w:val="00B2797A"/>
    <w:rsid w:val="00B27DE3"/>
    <w:rsid w:val="00B3026E"/>
    <w:rsid w:val="00B303D0"/>
    <w:rsid w:val="00B30516"/>
    <w:rsid w:val="00B30611"/>
    <w:rsid w:val="00B30677"/>
    <w:rsid w:val="00B3083E"/>
    <w:rsid w:val="00B308E6"/>
    <w:rsid w:val="00B30FBE"/>
    <w:rsid w:val="00B31070"/>
    <w:rsid w:val="00B313D7"/>
    <w:rsid w:val="00B31767"/>
    <w:rsid w:val="00B31AB9"/>
    <w:rsid w:val="00B32059"/>
    <w:rsid w:val="00B320C0"/>
    <w:rsid w:val="00B3211F"/>
    <w:rsid w:val="00B321C6"/>
    <w:rsid w:val="00B327B8"/>
    <w:rsid w:val="00B327CA"/>
    <w:rsid w:val="00B32A1F"/>
    <w:rsid w:val="00B32F7D"/>
    <w:rsid w:val="00B3311F"/>
    <w:rsid w:val="00B332D0"/>
    <w:rsid w:val="00B3355F"/>
    <w:rsid w:val="00B338BC"/>
    <w:rsid w:val="00B339DD"/>
    <w:rsid w:val="00B3407B"/>
    <w:rsid w:val="00B340A2"/>
    <w:rsid w:val="00B34440"/>
    <w:rsid w:val="00B34A93"/>
    <w:rsid w:val="00B34C1C"/>
    <w:rsid w:val="00B34D40"/>
    <w:rsid w:val="00B34D97"/>
    <w:rsid w:val="00B35149"/>
    <w:rsid w:val="00B35436"/>
    <w:rsid w:val="00B355F6"/>
    <w:rsid w:val="00B35909"/>
    <w:rsid w:val="00B35BCA"/>
    <w:rsid w:val="00B35C59"/>
    <w:rsid w:val="00B35EC1"/>
    <w:rsid w:val="00B36249"/>
    <w:rsid w:val="00B36458"/>
    <w:rsid w:val="00B36714"/>
    <w:rsid w:val="00B3671D"/>
    <w:rsid w:val="00B36A97"/>
    <w:rsid w:val="00B36AC1"/>
    <w:rsid w:val="00B36D31"/>
    <w:rsid w:val="00B36DF7"/>
    <w:rsid w:val="00B36E37"/>
    <w:rsid w:val="00B36E86"/>
    <w:rsid w:val="00B37019"/>
    <w:rsid w:val="00B372CF"/>
    <w:rsid w:val="00B37350"/>
    <w:rsid w:val="00B3737A"/>
    <w:rsid w:val="00B374FB"/>
    <w:rsid w:val="00B375AF"/>
    <w:rsid w:val="00B376BD"/>
    <w:rsid w:val="00B37A04"/>
    <w:rsid w:val="00B37B6B"/>
    <w:rsid w:val="00B37CCC"/>
    <w:rsid w:val="00B40057"/>
    <w:rsid w:val="00B403FE"/>
    <w:rsid w:val="00B4071E"/>
    <w:rsid w:val="00B40721"/>
    <w:rsid w:val="00B4099F"/>
    <w:rsid w:val="00B40D38"/>
    <w:rsid w:val="00B40E09"/>
    <w:rsid w:val="00B411A2"/>
    <w:rsid w:val="00B411E8"/>
    <w:rsid w:val="00B412E7"/>
    <w:rsid w:val="00B413EB"/>
    <w:rsid w:val="00B4161D"/>
    <w:rsid w:val="00B41B22"/>
    <w:rsid w:val="00B41D36"/>
    <w:rsid w:val="00B41D5B"/>
    <w:rsid w:val="00B4200E"/>
    <w:rsid w:val="00B42177"/>
    <w:rsid w:val="00B4230E"/>
    <w:rsid w:val="00B4295F"/>
    <w:rsid w:val="00B429DE"/>
    <w:rsid w:val="00B42F0A"/>
    <w:rsid w:val="00B42F7D"/>
    <w:rsid w:val="00B430D6"/>
    <w:rsid w:val="00B43613"/>
    <w:rsid w:val="00B438BB"/>
    <w:rsid w:val="00B43A65"/>
    <w:rsid w:val="00B43F6B"/>
    <w:rsid w:val="00B44363"/>
    <w:rsid w:val="00B445BD"/>
    <w:rsid w:val="00B447BE"/>
    <w:rsid w:val="00B44878"/>
    <w:rsid w:val="00B44C51"/>
    <w:rsid w:val="00B44DFA"/>
    <w:rsid w:val="00B45038"/>
    <w:rsid w:val="00B450A7"/>
    <w:rsid w:val="00B452DD"/>
    <w:rsid w:val="00B4593F"/>
    <w:rsid w:val="00B45F1F"/>
    <w:rsid w:val="00B45FAF"/>
    <w:rsid w:val="00B46098"/>
    <w:rsid w:val="00B463D5"/>
    <w:rsid w:val="00B466D7"/>
    <w:rsid w:val="00B466FC"/>
    <w:rsid w:val="00B46848"/>
    <w:rsid w:val="00B4685D"/>
    <w:rsid w:val="00B46A1D"/>
    <w:rsid w:val="00B46D05"/>
    <w:rsid w:val="00B46EB4"/>
    <w:rsid w:val="00B471A7"/>
    <w:rsid w:val="00B47613"/>
    <w:rsid w:val="00B47D93"/>
    <w:rsid w:val="00B50154"/>
    <w:rsid w:val="00B50210"/>
    <w:rsid w:val="00B5063A"/>
    <w:rsid w:val="00B50981"/>
    <w:rsid w:val="00B51319"/>
    <w:rsid w:val="00B51494"/>
    <w:rsid w:val="00B51B06"/>
    <w:rsid w:val="00B51B3B"/>
    <w:rsid w:val="00B51C5A"/>
    <w:rsid w:val="00B52048"/>
    <w:rsid w:val="00B521E6"/>
    <w:rsid w:val="00B52295"/>
    <w:rsid w:val="00B523C2"/>
    <w:rsid w:val="00B52AE2"/>
    <w:rsid w:val="00B52B0E"/>
    <w:rsid w:val="00B52BF8"/>
    <w:rsid w:val="00B52EE5"/>
    <w:rsid w:val="00B5343A"/>
    <w:rsid w:val="00B53684"/>
    <w:rsid w:val="00B5377C"/>
    <w:rsid w:val="00B53E98"/>
    <w:rsid w:val="00B53F97"/>
    <w:rsid w:val="00B53FA1"/>
    <w:rsid w:val="00B54163"/>
    <w:rsid w:val="00B54605"/>
    <w:rsid w:val="00B54683"/>
    <w:rsid w:val="00B547E5"/>
    <w:rsid w:val="00B551AA"/>
    <w:rsid w:val="00B554B1"/>
    <w:rsid w:val="00B555A9"/>
    <w:rsid w:val="00B55AD2"/>
    <w:rsid w:val="00B55F7E"/>
    <w:rsid w:val="00B565E4"/>
    <w:rsid w:val="00B56677"/>
    <w:rsid w:val="00B56C4E"/>
    <w:rsid w:val="00B56D2E"/>
    <w:rsid w:val="00B56F9F"/>
    <w:rsid w:val="00B5733E"/>
    <w:rsid w:val="00B5770B"/>
    <w:rsid w:val="00B57915"/>
    <w:rsid w:val="00B579AC"/>
    <w:rsid w:val="00B57A59"/>
    <w:rsid w:val="00B57C96"/>
    <w:rsid w:val="00B57CAD"/>
    <w:rsid w:val="00B6006A"/>
    <w:rsid w:val="00B600CD"/>
    <w:rsid w:val="00B60493"/>
    <w:rsid w:val="00B6074D"/>
    <w:rsid w:val="00B60782"/>
    <w:rsid w:val="00B6092C"/>
    <w:rsid w:val="00B60961"/>
    <w:rsid w:val="00B60A5B"/>
    <w:rsid w:val="00B60A9D"/>
    <w:rsid w:val="00B60AB0"/>
    <w:rsid w:val="00B61257"/>
    <w:rsid w:val="00B61332"/>
    <w:rsid w:val="00B6134E"/>
    <w:rsid w:val="00B61395"/>
    <w:rsid w:val="00B616C9"/>
    <w:rsid w:val="00B616E2"/>
    <w:rsid w:val="00B61702"/>
    <w:rsid w:val="00B6183D"/>
    <w:rsid w:val="00B61841"/>
    <w:rsid w:val="00B618E6"/>
    <w:rsid w:val="00B61A28"/>
    <w:rsid w:val="00B61B35"/>
    <w:rsid w:val="00B61C2C"/>
    <w:rsid w:val="00B61D50"/>
    <w:rsid w:val="00B61F2F"/>
    <w:rsid w:val="00B620BD"/>
    <w:rsid w:val="00B620FA"/>
    <w:rsid w:val="00B621E9"/>
    <w:rsid w:val="00B622AD"/>
    <w:rsid w:val="00B628A6"/>
    <w:rsid w:val="00B62B97"/>
    <w:rsid w:val="00B62CEF"/>
    <w:rsid w:val="00B62D74"/>
    <w:rsid w:val="00B636BE"/>
    <w:rsid w:val="00B6370E"/>
    <w:rsid w:val="00B6389B"/>
    <w:rsid w:val="00B638CD"/>
    <w:rsid w:val="00B63901"/>
    <w:rsid w:val="00B63C8E"/>
    <w:rsid w:val="00B63D3E"/>
    <w:rsid w:val="00B63E4F"/>
    <w:rsid w:val="00B63F5F"/>
    <w:rsid w:val="00B64079"/>
    <w:rsid w:val="00B6440C"/>
    <w:rsid w:val="00B6451C"/>
    <w:rsid w:val="00B6459B"/>
    <w:rsid w:val="00B64857"/>
    <w:rsid w:val="00B64877"/>
    <w:rsid w:val="00B64888"/>
    <w:rsid w:val="00B64C90"/>
    <w:rsid w:val="00B64F8D"/>
    <w:rsid w:val="00B6501D"/>
    <w:rsid w:val="00B6505C"/>
    <w:rsid w:val="00B6545C"/>
    <w:rsid w:val="00B65604"/>
    <w:rsid w:val="00B65DED"/>
    <w:rsid w:val="00B65F4A"/>
    <w:rsid w:val="00B65F94"/>
    <w:rsid w:val="00B65FAD"/>
    <w:rsid w:val="00B6606C"/>
    <w:rsid w:val="00B6689C"/>
    <w:rsid w:val="00B66AC6"/>
    <w:rsid w:val="00B66CAB"/>
    <w:rsid w:val="00B66D9F"/>
    <w:rsid w:val="00B674A8"/>
    <w:rsid w:val="00B677A0"/>
    <w:rsid w:val="00B678DB"/>
    <w:rsid w:val="00B679AE"/>
    <w:rsid w:val="00B67AC2"/>
    <w:rsid w:val="00B70209"/>
    <w:rsid w:val="00B70A2D"/>
    <w:rsid w:val="00B70B85"/>
    <w:rsid w:val="00B70C14"/>
    <w:rsid w:val="00B7129A"/>
    <w:rsid w:val="00B71301"/>
    <w:rsid w:val="00B7151C"/>
    <w:rsid w:val="00B71608"/>
    <w:rsid w:val="00B71657"/>
    <w:rsid w:val="00B719CA"/>
    <w:rsid w:val="00B71A82"/>
    <w:rsid w:val="00B71AFD"/>
    <w:rsid w:val="00B722FF"/>
    <w:rsid w:val="00B72838"/>
    <w:rsid w:val="00B72A7F"/>
    <w:rsid w:val="00B731F7"/>
    <w:rsid w:val="00B73201"/>
    <w:rsid w:val="00B732CD"/>
    <w:rsid w:val="00B73A74"/>
    <w:rsid w:val="00B73B14"/>
    <w:rsid w:val="00B740EF"/>
    <w:rsid w:val="00B74111"/>
    <w:rsid w:val="00B741A5"/>
    <w:rsid w:val="00B74226"/>
    <w:rsid w:val="00B743BB"/>
    <w:rsid w:val="00B75030"/>
    <w:rsid w:val="00B750DC"/>
    <w:rsid w:val="00B752E9"/>
    <w:rsid w:val="00B75A2A"/>
    <w:rsid w:val="00B75DF5"/>
    <w:rsid w:val="00B766B3"/>
    <w:rsid w:val="00B7723D"/>
    <w:rsid w:val="00B77613"/>
    <w:rsid w:val="00B7779F"/>
    <w:rsid w:val="00B778FF"/>
    <w:rsid w:val="00B77ACA"/>
    <w:rsid w:val="00B77F4C"/>
    <w:rsid w:val="00B803EE"/>
    <w:rsid w:val="00B80499"/>
    <w:rsid w:val="00B804FC"/>
    <w:rsid w:val="00B8067F"/>
    <w:rsid w:val="00B806FF"/>
    <w:rsid w:val="00B8077D"/>
    <w:rsid w:val="00B8084C"/>
    <w:rsid w:val="00B80977"/>
    <w:rsid w:val="00B80A8E"/>
    <w:rsid w:val="00B80AFC"/>
    <w:rsid w:val="00B80CE6"/>
    <w:rsid w:val="00B80D00"/>
    <w:rsid w:val="00B80FB8"/>
    <w:rsid w:val="00B81142"/>
    <w:rsid w:val="00B8125D"/>
    <w:rsid w:val="00B81829"/>
    <w:rsid w:val="00B81960"/>
    <w:rsid w:val="00B821EA"/>
    <w:rsid w:val="00B823F6"/>
    <w:rsid w:val="00B8278A"/>
    <w:rsid w:val="00B8289B"/>
    <w:rsid w:val="00B829AC"/>
    <w:rsid w:val="00B82BD0"/>
    <w:rsid w:val="00B82BD8"/>
    <w:rsid w:val="00B82DB2"/>
    <w:rsid w:val="00B83123"/>
    <w:rsid w:val="00B8313C"/>
    <w:rsid w:val="00B832B6"/>
    <w:rsid w:val="00B83927"/>
    <w:rsid w:val="00B83975"/>
    <w:rsid w:val="00B83BEC"/>
    <w:rsid w:val="00B83C2E"/>
    <w:rsid w:val="00B840DF"/>
    <w:rsid w:val="00B8455D"/>
    <w:rsid w:val="00B845C3"/>
    <w:rsid w:val="00B849CF"/>
    <w:rsid w:val="00B8504D"/>
    <w:rsid w:val="00B85494"/>
    <w:rsid w:val="00B85568"/>
    <w:rsid w:val="00B85964"/>
    <w:rsid w:val="00B85B22"/>
    <w:rsid w:val="00B85BB6"/>
    <w:rsid w:val="00B86242"/>
    <w:rsid w:val="00B86B7C"/>
    <w:rsid w:val="00B86BC1"/>
    <w:rsid w:val="00B8727D"/>
    <w:rsid w:val="00B872B9"/>
    <w:rsid w:val="00B877D1"/>
    <w:rsid w:val="00B87BDE"/>
    <w:rsid w:val="00B87E2C"/>
    <w:rsid w:val="00B87EAD"/>
    <w:rsid w:val="00B90218"/>
    <w:rsid w:val="00B9055D"/>
    <w:rsid w:val="00B90780"/>
    <w:rsid w:val="00B90AA2"/>
    <w:rsid w:val="00B90AAC"/>
    <w:rsid w:val="00B90CB6"/>
    <w:rsid w:val="00B90CC7"/>
    <w:rsid w:val="00B910F2"/>
    <w:rsid w:val="00B9130D"/>
    <w:rsid w:val="00B913CE"/>
    <w:rsid w:val="00B91B29"/>
    <w:rsid w:val="00B91EA5"/>
    <w:rsid w:val="00B928D3"/>
    <w:rsid w:val="00B92BE9"/>
    <w:rsid w:val="00B92DC1"/>
    <w:rsid w:val="00B93189"/>
    <w:rsid w:val="00B931A1"/>
    <w:rsid w:val="00B933C2"/>
    <w:rsid w:val="00B934B2"/>
    <w:rsid w:val="00B93525"/>
    <w:rsid w:val="00B93667"/>
    <w:rsid w:val="00B937B4"/>
    <w:rsid w:val="00B93B72"/>
    <w:rsid w:val="00B93BE1"/>
    <w:rsid w:val="00B93E3C"/>
    <w:rsid w:val="00B94347"/>
    <w:rsid w:val="00B94472"/>
    <w:rsid w:val="00B94619"/>
    <w:rsid w:val="00B9497A"/>
    <w:rsid w:val="00B949D2"/>
    <w:rsid w:val="00B949FA"/>
    <w:rsid w:val="00B94BBB"/>
    <w:rsid w:val="00B94C44"/>
    <w:rsid w:val="00B94E26"/>
    <w:rsid w:val="00B94F22"/>
    <w:rsid w:val="00B950CB"/>
    <w:rsid w:val="00B95486"/>
    <w:rsid w:val="00B955F6"/>
    <w:rsid w:val="00B95A27"/>
    <w:rsid w:val="00B95D64"/>
    <w:rsid w:val="00B95E30"/>
    <w:rsid w:val="00B960D0"/>
    <w:rsid w:val="00B96561"/>
    <w:rsid w:val="00B965E5"/>
    <w:rsid w:val="00B96628"/>
    <w:rsid w:val="00B967CA"/>
    <w:rsid w:val="00B96A85"/>
    <w:rsid w:val="00B96AEA"/>
    <w:rsid w:val="00B96D12"/>
    <w:rsid w:val="00B970E5"/>
    <w:rsid w:val="00B9728D"/>
    <w:rsid w:val="00B97383"/>
    <w:rsid w:val="00B97B51"/>
    <w:rsid w:val="00B97EA4"/>
    <w:rsid w:val="00B97F2F"/>
    <w:rsid w:val="00BA03CB"/>
    <w:rsid w:val="00BA0434"/>
    <w:rsid w:val="00BA0FED"/>
    <w:rsid w:val="00BA1221"/>
    <w:rsid w:val="00BA1558"/>
    <w:rsid w:val="00BA16CD"/>
    <w:rsid w:val="00BA18C1"/>
    <w:rsid w:val="00BA1CFF"/>
    <w:rsid w:val="00BA1DC9"/>
    <w:rsid w:val="00BA1E05"/>
    <w:rsid w:val="00BA1EB1"/>
    <w:rsid w:val="00BA22E6"/>
    <w:rsid w:val="00BA22EB"/>
    <w:rsid w:val="00BA24BE"/>
    <w:rsid w:val="00BA29B0"/>
    <w:rsid w:val="00BA2C87"/>
    <w:rsid w:val="00BA30D1"/>
    <w:rsid w:val="00BA3128"/>
    <w:rsid w:val="00BA32E3"/>
    <w:rsid w:val="00BA3406"/>
    <w:rsid w:val="00BA345E"/>
    <w:rsid w:val="00BA3599"/>
    <w:rsid w:val="00BA37F5"/>
    <w:rsid w:val="00BA3AAA"/>
    <w:rsid w:val="00BA3C37"/>
    <w:rsid w:val="00BA3FC6"/>
    <w:rsid w:val="00BA44B6"/>
    <w:rsid w:val="00BA4631"/>
    <w:rsid w:val="00BA4712"/>
    <w:rsid w:val="00BA4846"/>
    <w:rsid w:val="00BA4B84"/>
    <w:rsid w:val="00BA4BD6"/>
    <w:rsid w:val="00BA5502"/>
    <w:rsid w:val="00BA56AD"/>
    <w:rsid w:val="00BA5B1F"/>
    <w:rsid w:val="00BA5C8B"/>
    <w:rsid w:val="00BA6026"/>
    <w:rsid w:val="00BA6191"/>
    <w:rsid w:val="00BA63F4"/>
    <w:rsid w:val="00BA6588"/>
    <w:rsid w:val="00BA670C"/>
    <w:rsid w:val="00BA6D53"/>
    <w:rsid w:val="00BA6EF6"/>
    <w:rsid w:val="00BA7059"/>
    <w:rsid w:val="00BA725B"/>
    <w:rsid w:val="00BA73EF"/>
    <w:rsid w:val="00BA7514"/>
    <w:rsid w:val="00BA7EA1"/>
    <w:rsid w:val="00BA7F9A"/>
    <w:rsid w:val="00BB03E6"/>
    <w:rsid w:val="00BB083E"/>
    <w:rsid w:val="00BB0883"/>
    <w:rsid w:val="00BB0BB4"/>
    <w:rsid w:val="00BB0CA6"/>
    <w:rsid w:val="00BB0D73"/>
    <w:rsid w:val="00BB14A2"/>
    <w:rsid w:val="00BB151A"/>
    <w:rsid w:val="00BB1520"/>
    <w:rsid w:val="00BB1909"/>
    <w:rsid w:val="00BB191C"/>
    <w:rsid w:val="00BB1A1B"/>
    <w:rsid w:val="00BB1A61"/>
    <w:rsid w:val="00BB1BD5"/>
    <w:rsid w:val="00BB1C19"/>
    <w:rsid w:val="00BB1CAF"/>
    <w:rsid w:val="00BB21B3"/>
    <w:rsid w:val="00BB26B3"/>
    <w:rsid w:val="00BB26C7"/>
    <w:rsid w:val="00BB2C8B"/>
    <w:rsid w:val="00BB2DB1"/>
    <w:rsid w:val="00BB2F09"/>
    <w:rsid w:val="00BB2F0C"/>
    <w:rsid w:val="00BB2F62"/>
    <w:rsid w:val="00BB2F9D"/>
    <w:rsid w:val="00BB2FBE"/>
    <w:rsid w:val="00BB2FD2"/>
    <w:rsid w:val="00BB3718"/>
    <w:rsid w:val="00BB39F7"/>
    <w:rsid w:val="00BB3B05"/>
    <w:rsid w:val="00BB4084"/>
    <w:rsid w:val="00BB45E8"/>
    <w:rsid w:val="00BB4801"/>
    <w:rsid w:val="00BB5514"/>
    <w:rsid w:val="00BB568D"/>
    <w:rsid w:val="00BB5B87"/>
    <w:rsid w:val="00BB6136"/>
    <w:rsid w:val="00BB6233"/>
    <w:rsid w:val="00BB6377"/>
    <w:rsid w:val="00BB6506"/>
    <w:rsid w:val="00BB65EB"/>
    <w:rsid w:val="00BB69DE"/>
    <w:rsid w:val="00BB6A47"/>
    <w:rsid w:val="00BB6C2E"/>
    <w:rsid w:val="00BB6C63"/>
    <w:rsid w:val="00BB6D6F"/>
    <w:rsid w:val="00BB6D7C"/>
    <w:rsid w:val="00BB6EAC"/>
    <w:rsid w:val="00BB7091"/>
    <w:rsid w:val="00BB725F"/>
    <w:rsid w:val="00BB796E"/>
    <w:rsid w:val="00BB7C20"/>
    <w:rsid w:val="00BC028C"/>
    <w:rsid w:val="00BC132C"/>
    <w:rsid w:val="00BC15BB"/>
    <w:rsid w:val="00BC1C28"/>
    <w:rsid w:val="00BC1D29"/>
    <w:rsid w:val="00BC203C"/>
    <w:rsid w:val="00BC21A5"/>
    <w:rsid w:val="00BC21F0"/>
    <w:rsid w:val="00BC23E6"/>
    <w:rsid w:val="00BC266E"/>
    <w:rsid w:val="00BC27B9"/>
    <w:rsid w:val="00BC285C"/>
    <w:rsid w:val="00BC2B31"/>
    <w:rsid w:val="00BC2BB4"/>
    <w:rsid w:val="00BC2E87"/>
    <w:rsid w:val="00BC3172"/>
    <w:rsid w:val="00BC3179"/>
    <w:rsid w:val="00BC326F"/>
    <w:rsid w:val="00BC340A"/>
    <w:rsid w:val="00BC35A5"/>
    <w:rsid w:val="00BC360F"/>
    <w:rsid w:val="00BC3733"/>
    <w:rsid w:val="00BC3BCE"/>
    <w:rsid w:val="00BC3C86"/>
    <w:rsid w:val="00BC3E04"/>
    <w:rsid w:val="00BC3EF6"/>
    <w:rsid w:val="00BC434D"/>
    <w:rsid w:val="00BC441E"/>
    <w:rsid w:val="00BC4489"/>
    <w:rsid w:val="00BC448C"/>
    <w:rsid w:val="00BC4541"/>
    <w:rsid w:val="00BC4648"/>
    <w:rsid w:val="00BC4754"/>
    <w:rsid w:val="00BC523A"/>
    <w:rsid w:val="00BC5380"/>
    <w:rsid w:val="00BC542B"/>
    <w:rsid w:val="00BC55A2"/>
    <w:rsid w:val="00BC55BB"/>
    <w:rsid w:val="00BC584A"/>
    <w:rsid w:val="00BC5A16"/>
    <w:rsid w:val="00BC5C9E"/>
    <w:rsid w:val="00BC60F6"/>
    <w:rsid w:val="00BC61D4"/>
    <w:rsid w:val="00BC6399"/>
    <w:rsid w:val="00BC66DB"/>
    <w:rsid w:val="00BC6783"/>
    <w:rsid w:val="00BC6F2E"/>
    <w:rsid w:val="00BC723A"/>
    <w:rsid w:val="00BC7C5F"/>
    <w:rsid w:val="00BD00E9"/>
    <w:rsid w:val="00BD03C2"/>
    <w:rsid w:val="00BD0BE7"/>
    <w:rsid w:val="00BD0D67"/>
    <w:rsid w:val="00BD0DB2"/>
    <w:rsid w:val="00BD0DEF"/>
    <w:rsid w:val="00BD1066"/>
    <w:rsid w:val="00BD11B1"/>
    <w:rsid w:val="00BD1B32"/>
    <w:rsid w:val="00BD1BB6"/>
    <w:rsid w:val="00BD1EED"/>
    <w:rsid w:val="00BD23DF"/>
    <w:rsid w:val="00BD2671"/>
    <w:rsid w:val="00BD2753"/>
    <w:rsid w:val="00BD28C8"/>
    <w:rsid w:val="00BD2989"/>
    <w:rsid w:val="00BD2A17"/>
    <w:rsid w:val="00BD2FA3"/>
    <w:rsid w:val="00BD3288"/>
    <w:rsid w:val="00BD34CB"/>
    <w:rsid w:val="00BD34E2"/>
    <w:rsid w:val="00BD38D1"/>
    <w:rsid w:val="00BD3FB5"/>
    <w:rsid w:val="00BD43DB"/>
    <w:rsid w:val="00BD457F"/>
    <w:rsid w:val="00BD4705"/>
    <w:rsid w:val="00BD49CC"/>
    <w:rsid w:val="00BD4CA0"/>
    <w:rsid w:val="00BD57A5"/>
    <w:rsid w:val="00BD60F0"/>
    <w:rsid w:val="00BD6113"/>
    <w:rsid w:val="00BD664B"/>
    <w:rsid w:val="00BD67F0"/>
    <w:rsid w:val="00BD6A07"/>
    <w:rsid w:val="00BD6C24"/>
    <w:rsid w:val="00BD6C7F"/>
    <w:rsid w:val="00BD6CF3"/>
    <w:rsid w:val="00BD7136"/>
    <w:rsid w:val="00BD71D8"/>
    <w:rsid w:val="00BD71DC"/>
    <w:rsid w:val="00BD750E"/>
    <w:rsid w:val="00BD7685"/>
    <w:rsid w:val="00BD783B"/>
    <w:rsid w:val="00BD7ACC"/>
    <w:rsid w:val="00BD7C04"/>
    <w:rsid w:val="00BD7E3A"/>
    <w:rsid w:val="00BE0156"/>
    <w:rsid w:val="00BE032F"/>
    <w:rsid w:val="00BE05C6"/>
    <w:rsid w:val="00BE0C8F"/>
    <w:rsid w:val="00BE0C91"/>
    <w:rsid w:val="00BE0F87"/>
    <w:rsid w:val="00BE10DC"/>
    <w:rsid w:val="00BE1239"/>
    <w:rsid w:val="00BE1447"/>
    <w:rsid w:val="00BE14AF"/>
    <w:rsid w:val="00BE158A"/>
    <w:rsid w:val="00BE18D1"/>
    <w:rsid w:val="00BE1A48"/>
    <w:rsid w:val="00BE1BF1"/>
    <w:rsid w:val="00BE1FBA"/>
    <w:rsid w:val="00BE2030"/>
    <w:rsid w:val="00BE274D"/>
    <w:rsid w:val="00BE27B9"/>
    <w:rsid w:val="00BE2906"/>
    <w:rsid w:val="00BE2B6A"/>
    <w:rsid w:val="00BE3143"/>
    <w:rsid w:val="00BE33B8"/>
    <w:rsid w:val="00BE3ACD"/>
    <w:rsid w:val="00BE3EA0"/>
    <w:rsid w:val="00BE44F4"/>
    <w:rsid w:val="00BE44F5"/>
    <w:rsid w:val="00BE4889"/>
    <w:rsid w:val="00BE4CC4"/>
    <w:rsid w:val="00BE566A"/>
    <w:rsid w:val="00BE57B2"/>
    <w:rsid w:val="00BE5A1A"/>
    <w:rsid w:val="00BE5B26"/>
    <w:rsid w:val="00BE62BC"/>
    <w:rsid w:val="00BE68F0"/>
    <w:rsid w:val="00BE6CAA"/>
    <w:rsid w:val="00BE6DBC"/>
    <w:rsid w:val="00BE75D9"/>
    <w:rsid w:val="00BE76E5"/>
    <w:rsid w:val="00BE7890"/>
    <w:rsid w:val="00BE7951"/>
    <w:rsid w:val="00BE7AD4"/>
    <w:rsid w:val="00BE7B7C"/>
    <w:rsid w:val="00BF0214"/>
    <w:rsid w:val="00BF0408"/>
    <w:rsid w:val="00BF047F"/>
    <w:rsid w:val="00BF0E97"/>
    <w:rsid w:val="00BF0EF9"/>
    <w:rsid w:val="00BF1102"/>
    <w:rsid w:val="00BF1670"/>
    <w:rsid w:val="00BF1739"/>
    <w:rsid w:val="00BF19EE"/>
    <w:rsid w:val="00BF1AD1"/>
    <w:rsid w:val="00BF1C0C"/>
    <w:rsid w:val="00BF1C44"/>
    <w:rsid w:val="00BF1F41"/>
    <w:rsid w:val="00BF2031"/>
    <w:rsid w:val="00BF23D2"/>
    <w:rsid w:val="00BF24FB"/>
    <w:rsid w:val="00BF2895"/>
    <w:rsid w:val="00BF31D7"/>
    <w:rsid w:val="00BF3598"/>
    <w:rsid w:val="00BF35A5"/>
    <w:rsid w:val="00BF366C"/>
    <w:rsid w:val="00BF3B7D"/>
    <w:rsid w:val="00BF43EA"/>
    <w:rsid w:val="00BF454D"/>
    <w:rsid w:val="00BF4572"/>
    <w:rsid w:val="00BF4675"/>
    <w:rsid w:val="00BF46B0"/>
    <w:rsid w:val="00BF4BC6"/>
    <w:rsid w:val="00BF4C4F"/>
    <w:rsid w:val="00BF4C97"/>
    <w:rsid w:val="00BF4E5A"/>
    <w:rsid w:val="00BF4EC2"/>
    <w:rsid w:val="00BF506E"/>
    <w:rsid w:val="00BF5121"/>
    <w:rsid w:val="00BF5301"/>
    <w:rsid w:val="00BF551A"/>
    <w:rsid w:val="00BF5535"/>
    <w:rsid w:val="00BF5720"/>
    <w:rsid w:val="00BF5D65"/>
    <w:rsid w:val="00BF5D72"/>
    <w:rsid w:val="00BF65B4"/>
    <w:rsid w:val="00BF6A8D"/>
    <w:rsid w:val="00BF6C15"/>
    <w:rsid w:val="00BF6E32"/>
    <w:rsid w:val="00BF6FB6"/>
    <w:rsid w:val="00BF7195"/>
    <w:rsid w:val="00BF73D2"/>
    <w:rsid w:val="00BF7591"/>
    <w:rsid w:val="00BF75E6"/>
    <w:rsid w:val="00BF795D"/>
    <w:rsid w:val="00BF7972"/>
    <w:rsid w:val="00BF797B"/>
    <w:rsid w:val="00C00318"/>
    <w:rsid w:val="00C00801"/>
    <w:rsid w:val="00C00DCA"/>
    <w:rsid w:val="00C00E70"/>
    <w:rsid w:val="00C00F95"/>
    <w:rsid w:val="00C01126"/>
    <w:rsid w:val="00C01246"/>
    <w:rsid w:val="00C012CF"/>
    <w:rsid w:val="00C017F7"/>
    <w:rsid w:val="00C01A42"/>
    <w:rsid w:val="00C01CE6"/>
    <w:rsid w:val="00C01E31"/>
    <w:rsid w:val="00C020EF"/>
    <w:rsid w:val="00C0240A"/>
    <w:rsid w:val="00C02737"/>
    <w:rsid w:val="00C028BF"/>
    <w:rsid w:val="00C02D30"/>
    <w:rsid w:val="00C02E74"/>
    <w:rsid w:val="00C0308F"/>
    <w:rsid w:val="00C032F3"/>
    <w:rsid w:val="00C03485"/>
    <w:rsid w:val="00C03544"/>
    <w:rsid w:val="00C03649"/>
    <w:rsid w:val="00C03F76"/>
    <w:rsid w:val="00C03F7F"/>
    <w:rsid w:val="00C0409A"/>
    <w:rsid w:val="00C043C1"/>
    <w:rsid w:val="00C0466F"/>
    <w:rsid w:val="00C048B1"/>
    <w:rsid w:val="00C0503E"/>
    <w:rsid w:val="00C053F9"/>
    <w:rsid w:val="00C05C19"/>
    <w:rsid w:val="00C06093"/>
    <w:rsid w:val="00C06474"/>
    <w:rsid w:val="00C06525"/>
    <w:rsid w:val="00C065D7"/>
    <w:rsid w:val="00C06E07"/>
    <w:rsid w:val="00C07398"/>
    <w:rsid w:val="00C0743B"/>
    <w:rsid w:val="00C074DB"/>
    <w:rsid w:val="00C075C2"/>
    <w:rsid w:val="00C07829"/>
    <w:rsid w:val="00C079A7"/>
    <w:rsid w:val="00C079E1"/>
    <w:rsid w:val="00C07A73"/>
    <w:rsid w:val="00C07AC6"/>
    <w:rsid w:val="00C07DC0"/>
    <w:rsid w:val="00C07E29"/>
    <w:rsid w:val="00C07F1F"/>
    <w:rsid w:val="00C10225"/>
    <w:rsid w:val="00C10321"/>
    <w:rsid w:val="00C10EAA"/>
    <w:rsid w:val="00C11133"/>
    <w:rsid w:val="00C114EC"/>
    <w:rsid w:val="00C117B3"/>
    <w:rsid w:val="00C11CA9"/>
    <w:rsid w:val="00C1204B"/>
    <w:rsid w:val="00C12538"/>
    <w:rsid w:val="00C12CBC"/>
    <w:rsid w:val="00C12E8F"/>
    <w:rsid w:val="00C12E99"/>
    <w:rsid w:val="00C12FAC"/>
    <w:rsid w:val="00C132BB"/>
    <w:rsid w:val="00C133C1"/>
    <w:rsid w:val="00C13849"/>
    <w:rsid w:val="00C13C2D"/>
    <w:rsid w:val="00C13E28"/>
    <w:rsid w:val="00C1427E"/>
    <w:rsid w:val="00C14627"/>
    <w:rsid w:val="00C146A2"/>
    <w:rsid w:val="00C1472F"/>
    <w:rsid w:val="00C14A74"/>
    <w:rsid w:val="00C14B52"/>
    <w:rsid w:val="00C14DF2"/>
    <w:rsid w:val="00C153EB"/>
    <w:rsid w:val="00C1585F"/>
    <w:rsid w:val="00C15A01"/>
    <w:rsid w:val="00C15FDC"/>
    <w:rsid w:val="00C16AEA"/>
    <w:rsid w:val="00C16C5A"/>
    <w:rsid w:val="00C16C5F"/>
    <w:rsid w:val="00C16E44"/>
    <w:rsid w:val="00C1712D"/>
    <w:rsid w:val="00C1719F"/>
    <w:rsid w:val="00C1736F"/>
    <w:rsid w:val="00C175DD"/>
    <w:rsid w:val="00C17D34"/>
    <w:rsid w:val="00C17D67"/>
    <w:rsid w:val="00C17E7B"/>
    <w:rsid w:val="00C202A5"/>
    <w:rsid w:val="00C20647"/>
    <w:rsid w:val="00C20ACD"/>
    <w:rsid w:val="00C20AE0"/>
    <w:rsid w:val="00C20BCC"/>
    <w:rsid w:val="00C20C7D"/>
    <w:rsid w:val="00C20DBA"/>
    <w:rsid w:val="00C21237"/>
    <w:rsid w:val="00C215A6"/>
    <w:rsid w:val="00C2181E"/>
    <w:rsid w:val="00C218AA"/>
    <w:rsid w:val="00C218F0"/>
    <w:rsid w:val="00C21A6D"/>
    <w:rsid w:val="00C21A89"/>
    <w:rsid w:val="00C21E2B"/>
    <w:rsid w:val="00C2221B"/>
    <w:rsid w:val="00C22459"/>
    <w:rsid w:val="00C22543"/>
    <w:rsid w:val="00C2260F"/>
    <w:rsid w:val="00C227C2"/>
    <w:rsid w:val="00C22BA1"/>
    <w:rsid w:val="00C22BAD"/>
    <w:rsid w:val="00C23207"/>
    <w:rsid w:val="00C241BE"/>
    <w:rsid w:val="00C2452D"/>
    <w:rsid w:val="00C24735"/>
    <w:rsid w:val="00C24888"/>
    <w:rsid w:val="00C24A10"/>
    <w:rsid w:val="00C24C44"/>
    <w:rsid w:val="00C24C90"/>
    <w:rsid w:val="00C252BC"/>
    <w:rsid w:val="00C25300"/>
    <w:rsid w:val="00C2560A"/>
    <w:rsid w:val="00C25766"/>
    <w:rsid w:val="00C259CC"/>
    <w:rsid w:val="00C25EC5"/>
    <w:rsid w:val="00C26070"/>
    <w:rsid w:val="00C260E1"/>
    <w:rsid w:val="00C261CE"/>
    <w:rsid w:val="00C263A9"/>
    <w:rsid w:val="00C26752"/>
    <w:rsid w:val="00C2679E"/>
    <w:rsid w:val="00C26917"/>
    <w:rsid w:val="00C26B82"/>
    <w:rsid w:val="00C26C33"/>
    <w:rsid w:val="00C27204"/>
    <w:rsid w:val="00C27343"/>
    <w:rsid w:val="00C273D8"/>
    <w:rsid w:val="00C273E9"/>
    <w:rsid w:val="00C27601"/>
    <w:rsid w:val="00C27605"/>
    <w:rsid w:val="00C27750"/>
    <w:rsid w:val="00C27833"/>
    <w:rsid w:val="00C3063F"/>
    <w:rsid w:val="00C30724"/>
    <w:rsid w:val="00C308A2"/>
    <w:rsid w:val="00C30D18"/>
    <w:rsid w:val="00C30D58"/>
    <w:rsid w:val="00C313D4"/>
    <w:rsid w:val="00C3148C"/>
    <w:rsid w:val="00C31546"/>
    <w:rsid w:val="00C31647"/>
    <w:rsid w:val="00C317CB"/>
    <w:rsid w:val="00C31839"/>
    <w:rsid w:val="00C31AAF"/>
    <w:rsid w:val="00C31BD5"/>
    <w:rsid w:val="00C31DEF"/>
    <w:rsid w:val="00C3200F"/>
    <w:rsid w:val="00C323B3"/>
    <w:rsid w:val="00C325EC"/>
    <w:rsid w:val="00C32728"/>
    <w:rsid w:val="00C327A3"/>
    <w:rsid w:val="00C3298E"/>
    <w:rsid w:val="00C32B25"/>
    <w:rsid w:val="00C32C38"/>
    <w:rsid w:val="00C32C79"/>
    <w:rsid w:val="00C32F56"/>
    <w:rsid w:val="00C3346A"/>
    <w:rsid w:val="00C33478"/>
    <w:rsid w:val="00C3352F"/>
    <w:rsid w:val="00C33C99"/>
    <w:rsid w:val="00C33DEB"/>
    <w:rsid w:val="00C33F69"/>
    <w:rsid w:val="00C340D2"/>
    <w:rsid w:val="00C341FE"/>
    <w:rsid w:val="00C3422D"/>
    <w:rsid w:val="00C34398"/>
    <w:rsid w:val="00C34A0E"/>
    <w:rsid w:val="00C34B93"/>
    <w:rsid w:val="00C34BA8"/>
    <w:rsid w:val="00C34C17"/>
    <w:rsid w:val="00C34DE5"/>
    <w:rsid w:val="00C352FD"/>
    <w:rsid w:val="00C35599"/>
    <w:rsid w:val="00C3570D"/>
    <w:rsid w:val="00C358F1"/>
    <w:rsid w:val="00C35975"/>
    <w:rsid w:val="00C35F2B"/>
    <w:rsid w:val="00C36161"/>
    <w:rsid w:val="00C36514"/>
    <w:rsid w:val="00C3698C"/>
    <w:rsid w:val="00C36A43"/>
    <w:rsid w:val="00C36A6C"/>
    <w:rsid w:val="00C36C24"/>
    <w:rsid w:val="00C36D4D"/>
    <w:rsid w:val="00C36E51"/>
    <w:rsid w:val="00C36EF5"/>
    <w:rsid w:val="00C37439"/>
    <w:rsid w:val="00C37641"/>
    <w:rsid w:val="00C378E8"/>
    <w:rsid w:val="00C379B1"/>
    <w:rsid w:val="00C37A6B"/>
    <w:rsid w:val="00C37EE4"/>
    <w:rsid w:val="00C40090"/>
    <w:rsid w:val="00C401D2"/>
    <w:rsid w:val="00C404D5"/>
    <w:rsid w:val="00C406B9"/>
    <w:rsid w:val="00C40A79"/>
    <w:rsid w:val="00C40BB7"/>
    <w:rsid w:val="00C40CBA"/>
    <w:rsid w:val="00C41BAF"/>
    <w:rsid w:val="00C41C24"/>
    <w:rsid w:val="00C41E92"/>
    <w:rsid w:val="00C424D6"/>
    <w:rsid w:val="00C426D5"/>
    <w:rsid w:val="00C42820"/>
    <w:rsid w:val="00C42907"/>
    <w:rsid w:val="00C429CA"/>
    <w:rsid w:val="00C42E08"/>
    <w:rsid w:val="00C42E9A"/>
    <w:rsid w:val="00C42EF6"/>
    <w:rsid w:val="00C432D6"/>
    <w:rsid w:val="00C43C4C"/>
    <w:rsid w:val="00C44388"/>
    <w:rsid w:val="00C4451E"/>
    <w:rsid w:val="00C44656"/>
    <w:rsid w:val="00C448C9"/>
    <w:rsid w:val="00C44AA8"/>
    <w:rsid w:val="00C44B1F"/>
    <w:rsid w:val="00C44BC0"/>
    <w:rsid w:val="00C44C47"/>
    <w:rsid w:val="00C44CEB"/>
    <w:rsid w:val="00C45326"/>
    <w:rsid w:val="00C45486"/>
    <w:rsid w:val="00C454FE"/>
    <w:rsid w:val="00C45506"/>
    <w:rsid w:val="00C456FA"/>
    <w:rsid w:val="00C457B0"/>
    <w:rsid w:val="00C45935"/>
    <w:rsid w:val="00C45A2D"/>
    <w:rsid w:val="00C46037"/>
    <w:rsid w:val="00C462FF"/>
    <w:rsid w:val="00C4697C"/>
    <w:rsid w:val="00C46A20"/>
    <w:rsid w:val="00C46A35"/>
    <w:rsid w:val="00C47007"/>
    <w:rsid w:val="00C473DB"/>
    <w:rsid w:val="00C47412"/>
    <w:rsid w:val="00C474B3"/>
    <w:rsid w:val="00C475C1"/>
    <w:rsid w:val="00C47644"/>
    <w:rsid w:val="00C47728"/>
    <w:rsid w:val="00C4773D"/>
    <w:rsid w:val="00C4784E"/>
    <w:rsid w:val="00C478B4"/>
    <w:rsid w:val="00C47935"/>
    <w:rsid w:val="00C4799D"/>
    <w:rsid w:val="00C501AE"/>
    <w:rsid w:val="00C50291"/>
    <w:rsid w:val="00C50542"/>
    <w:rsid w:val="00C50A2E"/>
    <w:rsid w:val="00C50A87"/>
    <w:rsid w:val="00C51349"/>
    <w:rsid w:val="00C51433"/>
    <w:rsid w:val="00C5146D"/>
    <w:rsid w:val="00C51570"/>
    <w:rsid w:val="00C51A28"/>
    <w:rsid w:val="00C51C15"/>
    <w:rsid w:val="00C51CB3"/>
    <w:rsid w:val="00C51D70"/>
    <w:rsid w:val="00C51F58"/>
    <w:rsid w:val="00C5215A"/>
    <w:rsid w:val="00C5237B"/>
    <w:rsid w:val="00C5251F"/>
    <w:rsid w:val="00C525B1"/>
    <w:rsid w:val="00C5287F"/>
    <w:rsid w:val="00C52C2D"/>
    <w:rsid w:val="00C52C95"/>
    <w:rsid w:val="00C52FD7"/>
    <w:rsid w:val="00C531D1"/>
    <w:rsid w:val="00C5344B"/>
    <w:rsid w:val="00C535FB"/>
    <w:rsid w:val="00C5387A"/>
    <w:rsid w:val="00C538A2"/>
    <w:rsid w:val="00C53C3F"/>
    <w:rsid w:val="00C53C8F"/>
    <w:rsid w:val="00C53DB6"/>
    <w:rsid w:val="00C543D9"/>
    <w:rsid w:val="00C54CB7"/>
    <w:rsid w:val="00C54D28"/>
    <w:rsid w:val="00C54DA9"/>
    <w:rsid w:val="00C54E2A"/>
    <w:rsid w:val="00C5586E"/>
    <w:rsid w:val="00C55A5F"/>
    <w:rsid w:val="00C562D1"/>
    <w:rsid w:val="00C562FF"/>
    <w:rsid w:val="00C56437"/>
    <w:rsid w:val="00C56492"/>
    <w:rsid w:val="00C567B6"/>
    <w:rsid w:val="00C56A2B"/>
    <w:rsid w:val="00C56D62"/>
    <w:rsid w:val="00C56E9D"/>
    <w:rsid w:val="00C56EA4"/>
    <w:rsid w:val="00C56EEB"/>
    <w:rsid w:val="00C578D4"/>
    <w:rsid w:val="00C5794E"/>
    <w:rsid w:val="00C57E21"/>
    <w:rsid w:val="00C57EB1"/>
    <w:rsid w:val="00C57EC3"/>
    <w:rsid w:val="00C6003E"/>
    <w:rsid w:val="00C60052"/>
    <w:rsid w:val="00C600BA"/>
    <w:rsid w:val="00C60316"/>
    <w:rsid w:val="00C6059A"/>
    <w:rsid w:val="00C61571"/>
    <w:rsid w:val="00C6158B"/>
    <w:rsid w:val="00C61A59"/>
    <w:rsid w:val="00C61BDF"/>
    <w:rsid w:val="00C61D2D"/>
    <w:rsid w:val="00C61EA9"/>
    <w:rsid w:val="00C61FBD"/>
    <w:rsid w:val="00C62167"/>
    <w:rsid w:val="00C621D6"/>
    <w:rsid w:val="00C6235E"/>
    <w:rsid w:val="00C626CB"/>
    <w:rsid w:val="00C62837"/>
    <w:rsid w:val="00C62D50"/>
    <w:rsid w:val="00C62D61"/>
    <w:rsid w:val="00C62F87"/>
    <w:rsid w:val="00C63526"/>
    <w:rsid w:val="00C63BEF"/>
    <w:rsid w:val="00C63D36"/>
    <w:rsid w:val="00C64340"/>
    <w:rsid w:val="00C64D61"/>
    <w:rsid w:val="00C64EDD"/>
    <w:rsid w:val="00C652DB"/>
    <w:rsid w:val="00C656C9"/>
    <w:rsid w:val="00C65BCD"/>
    <w:rsid w:val="00C65FE9"/>
    <w:rsid w:val="00C66254"/>
    <w:rsid w:val="00C6647C"/>
    <w:rsid w:val="00C667B1"/>
    <w:rsid w:val="00C66909"/>
    <w:rsid w:val="00C66B8B"/>
    <w:rsid w:val="00C6762A"/>
    <w:rsid w:val="00C6763A"/>
    <w:rsid w:val="00C6765E"/>
    <w:rsid w:val="00C67786"/>
    <w:rsid w:val="00C67A0B"/>
    <w:rsid w:val="00C67C58"/>
    <w:rsid w:val="00C67D5D"/>
    <w:rsid w:val="00C67EFA"/>
    <w:rsid w:val="00C701BD"/>
    <w:rsid w:val="00C70217"/>
    <w:rsid w:val="00C70719"/>
    <w:rsid w:val="00C7080E"/>
    <w:rsid w:val="00C70C7B"/>
    <w:rsid w:val="00C70CCD"/>
    <w:rsid w:val="00C70E7E"/>
    <w:rsid w:val="00C71090"/>
    <w:rsid w:val="00C71628"/>
    <w:rsid w:val="00C7162D"/>
    <w:rsid w:val="00C7191E"/>
    <w:rsid w:val="00C71E54"/>
    <w:rsid w:val="00C72862"/>
    <w:rsid w:val="00C72E3B"/>
    <w:rsid w:val="00C72F96"/>
    <w:rsid w:val="00C73018"/>
    <w:rsid w:val="00C731D3"/>
    <w:rsid w:val="00C7337F"/>
    <w:rsid w:val="00C7351F"/>
    <w:rsid w:val="00C7367D"/>
    <w:rsid w:val="00C737B7"/>
    <w:rsid w:val="00C73B0D"/>
    <w:rsid w:val="00C73D4A"/>
    <w:rsid w:val="00C73D9D"/>
    <w:rsid w:val="00C73E88"/>
    <w:rsid w:val="00C73F25"/>
    <w:rsid w:val="00C73FE4"/>
    <w:rsid w:val="00C742BD"/>
    <w:rsid w:val="00C7453D"/>
    <w:rsid w:val="00C7474E"/>
    <w:rsid w:val="00C749C7"/>
    <w:rsid w:val="00C752C5"/>
    <w:rsid w:val="00C7539D"/>
    <w:rsid w:val="00C7599D"/>
    <w:rsid w:val="00C75AA6"/>
    <w:rsid w:val="00C75C20"/>
    <w:rsid w:val="00C76136"/>
    <w:rsid w:val="00C76183"/>
    <w:rsid w:val="00C761AA"/>
    <w:rsid w:val="00C762C0"/>
    <w:rsid w:val="00C762DB"/>
    <w:rsid w:val="00C763AE"/>
    <w:rsid w:val="00C76721"/>
    <w:rsid w:val="00C76B69"/>
    <w:rsid w:val="00C76BD3"/>
    <w:rsid w:val="00C76DB8"/>
    <w:rsid w:val="00C77061"/>
    <w:rsid w:val="00C77166"/>
    <w:rsid w:val="00C7726E"/>
    <w:rsid w:val="00C774A2"/>
    <w:rsid w:val="00C7769C"/>
    <w:rsid w:val="00C778B1"/>
    <w:rsid w:val="00C7795C"/>
    <w:rsid w:val="00C77AFB"/>
    <w:rsid w:val="00C77E87"/>
    <w:rsid w:val="00C77F8A"/>
    <w:rsid w:val="00C77F8C"/>
    <w:rsid w:val="00C8014B"/>
    <w:rsid w:val="00C8054F"/>
    <w:rsid w:val="00C80613"/>
    <w:rsid w:val="00C8071E"/>
    <w:rsid w:val="00C807ED"/>
    <w:rsid w:val="00C80C90"/>
    <w:rsid w:val="00C80D8B"/>
    <w:rsid w:val="00C818D4"/>
    <w:rsid w:val="00C81ABE"/>
    <w:rsid w:val="00C81DDD"/>
    <w:rsid w:val="00C821E8"/>
    <w:rsid w:val="00C821EF"/>
    <w:rsid w:val="00C822F8"/>
    <w:rsid w:val="00C82459"/>
    <w:rsid w:val="00C8260A"/>
    <w:rsid w:val="00C828BD"/>
    <w:rsid w:val="00C829F1"/>
    <w:rsid w:val="00C82AFE"/>
    <w:rsid w:val="00C82BB5"/>
    <w:rsid w:val="00C82E64"/>
    <w:rsid w:val="00C82EB6"/>
    <w:rsid w:val="00C831FB"/>
    <w:rsid w:val="00C832BD"/>
    <w:rsid w:val="00C8359B"/>
    <w:rsid w:val="00C836BB"/>
    <w:rsid w:val="00C8374E"/>
    <w:rsid w:val="00C8395D"/>
    <w:rsid w:val="00C841BC"/>
    <w:rsid w:val="00C841F0"/>
    <w:rsid w:val="00C84484"/>
    <w:rsid w:val="00C84986"/>
    <w:rsid w:val="00C84EA5"/>
    <w:rsid w:val="00C850FC"/>
    <w:rsid w:val="00C85196"/>
    <w:rsid w:val="00C85308"/>
    <w:rsid w:val="00C854C6"/>
    <w:rsid w:val="00C856FE"/>
    <w:rsid w:val="00C85961"/>
    <w:rsid w:val="00C85E40"/>
    <w:rsid w:val="00C85F53"/>
    <w:rsid w:val="00C86293"/>
    <w:rsid w:val="00C86299"/>
    <w:rsid w:val="00C868DE"/>
    <w:rsid w:val="00C87233"/>
    <w:rsid w:val="00C87582"/>
    <w:rsid w:val="00C87810"/>
    <w:rsid w:val="00C87AF5"/>
    <w:rsid w:val="00C87BB7"/>
    <w:rsid w:val="00C87FD0"/>
    <w:rsid w:val="00C9031B"/>
    <w:rsid w:val="00C90457"/>
    <w:rsid w:val="00C9098E"/>
    <w:rsid w:val="00C90A63"/>
    <w:rsid w:val="00C90D3F"/>
    <w:rsid w:val="00C91056"/>
    <w:rsid w:val="00C91215"/>
    <w:rsid w:val="00C9178D"/>
    <w:rsid w:val="00C91874"/>
    <w:rsid w:val="00C91A4C"/>
    <w:rsid w:val="00C92005"/>
    <w:rsid w:val="00C9238A"/>
    <w:rsid w:val="00C924FF"/>
    <w:rsid w:val="00C926C1"/>
    <w:rsid w:val="00C92852"/>
    <w:rsid w:val="00C9288F"/>
    <w:rsid w:val="00C92A94"/>
    <w:rsid w:val="00C92DC8"/>
    <w:rsid w:val="00C92E58"/>
    <w:rsid w:val="00C92E87"/>
    <w:rsid w:val="00C92EB3"/>
    <w:rsid w:val="00C92F2B"/>
    <w:rsid w:val="00C93123"/>
    <w:rsid w:val="00C9330E"/>
    <w:rsid w:val="00C933A9"/>
    <w:rsid w:val="00C933C1"/>
    <w:rsid w:val="00C933F7"/>
    <w:rsid w:val="00C9347D"/>
    <w:rsid w:val="00C941EF"/>
    <w:rsid w:val="00C948E3"/>
    <w:rsid w:val="00C94A2E"/>
    <w:rsid w:val="00C94E47"/>
    <w:rsid w:val="00C94FAF"/>
    <w:rsid w:val="00C95199"/>
    <w:rsid w:val="00C952B4"/>
    <w:rsid w:val="00C952D6"/>
    <w:rsid w:val="00C955A0"/>
    <w:rsid w:val="00C955F0"/>
    <w:rsid w:val="00C95CED"/>
    <w:rsid w:val="00C95DE7"/>
    <w:rsid w:val="00C963D7"/>
    <w:rsid w:val="00C96B25"/>
    <w:rsid w:val="00C96BD2"/>
    <w:rsid w:val="00C977BC"/>
    <w:rsid w:val="00C97A03"/>
    <w:rsid w:val="00C97C89"/>
    <w:rsid w:val="00C97F96"/>
    <w:rsid w:val="00CA0145"/>
    <w:rsid w:val="00CA02E2"/>
    <w:rsid w:val="00CA06D4"/>
    <w:rsid w:val="00CA0B07"/>
    <w:rsid w:val="00CA0B6C"/>
    <w:rsid w:val="00CA0F0C"/>
    <w:rsid w:val="00CA0F68"/>
    <w:rsid w:val="00CA1A02"/>
    <w:rsid w:val="00CA1DB0"/>
    <w:rsid w:val="00CA20AC"/>
    <w:rsid w:val="00CA2462"/>
    <w:rsid w:val="00CA2599"/>
    <w:rsid w:val="00CA29D2"/>
    <w:rsid w:val="00CA2E9B"/>
    <w:rsid w:val="00CA316E"/>
    <w:rsid w:val="00CA32A0"/>
    <w:rsid w:val="00CA345B"/>
    <w:rsid w:val="00CA36BD"/>
    <w:rsid w:val="00CA45FA"/>
    <w:rsid w:val="00CA4827"/>
    <w:rsid w:val="00CA4A33"/>
    <w:rsid w:val="00CA4B92"/>
    <w:rsid w:val="00CA4CDA"/>
    <w:rsid w:val="00CA4F10"/>
    <w:rsid w:val="00CA4F24"/>
    <w:rsid w:val="00CA505E"/>
    <w:rsid w:val="00CA5939"/>
    <w:rsid w:val="00CA5C98"/>
    <w:rsid w:val="00CA5F95"/>
    <w:rsid w:val="00CA60B1"/>
    <w:rsid w:val="00CA62DD"/>
    <w:rsid w:val="00CA6338"/>
    <w:rsid w:val="00CA662F"/>
    <w:rsid w:val="00CA6735"/>
    <w:rsid w:val="00CA6A92"/>
    <w:rsid w:val="00CA704C"/>
    <w:rsid w:val="00CA7145"/>
    <w:rsid w:val="00CA77C0"/>
    <w:rsid w:val="00CA7970"/>
    <w:rsid w:val="00CA7A6B"/>
    <w:rsid w:val="00CA7A82"/>
    <w:rsid w:val="00CA7F44"/>
    <w:rsid w:val="00CB0531"/>
    <w:rsid w:val="00CB06B7"/>
    <w:rsid w:val="00CB076C"/>
    <w:rsid w:val="00CB07AC"/>
    <w:rsid w:val="00CB0973"/>
    <w:rsid w:val="00CB0A02"/>
    <w:rsid w:val="00CB0C1D"/>
    <w:rsid w:val="00CB0D63"/>
    <w:rsid w:val="00CB0E26"/>
    <w:rsid w:val="00CB0F19"/>
    <w:rsid w:val="00CB1093"/>
    <w:rsid w:val="00CB1534"/>
    <w:rsid w:val="00CB1BBF"/>
    <w:rsid w:val="00CB1FF3"/>
    <w:rsid w:val="00CB20F8"/>
    <w:rsid w:val="00CB2174"/>
    <w:rsid w:val="00CB2184"/>
    <w:rsid w:val="00CB223A"/>
    <w:rsid w:val="00CB244D"/>
    <w:rsid w:val="00CB2AD3"/>
    <w:rsid w:val="00CB2BF8"/>
    <w:rsid w:val="00CB342B"/>
    <w:rsid w:val="00CB36BB"/>
    <w:rsid w:val="00CB39FE"/>
    <w:rsid w:val="00CB3CE9"/>
    <w:rsid w:val="00CB3FAE"/>
    <w:rsid w:val="00CB3FC8"/>
    <w:rsid w:val="00CB40C7"/>
    <w:rsid w:val="00CB40FF"/>
    <w:rsid w:val="00CB414B"/>
    <w:rsid w:val="00CB4459"/>
    <w:rsid w:val="00CB494B"/>
    <w:rsid w:val="00CB4A0C"/>
    <w:rsid w:val="00CB4A50"/>
    <w:rsid w:val="00CB4AE5"/>
    <w:rsid w:val="00CB5402"/>
    <w:rsid w:val="00CB5C77"/>
    <w:rsid w:val="00CB5DCD"/>
    <w:rsid w:val="00CB601C"/>
    <w:rsid w:val="00CB650E"/>
    <w:rsid w:val="00CB6738"/>
    <w:rsid w:val="00CB676C"/>
    <w:rsid w:val="00CB6B47"/>
    <w:rsid w:val="00CB7938"/>
    <w:rsid w:val="00CB7D26"/>
    <w:rsid w:val="00CC0322"/>
    <w:rsid w:val="00CC059F"/>
    <w:rsid w:val="00CC05F6"/>
    <w:rsid w:val="00CC085E"/>
    <w:rsid w:val="00CC0943"/>
    <w:rsid w:val="00CC0AE2"/>
    <w:rsid w:val="00CC1218"/>
    <w:rsid w:val="00CC1CE7"/>
    <w:rsid w:val="00CC1F8B"/>
    <w:rsid w:val="00CC21D3"/>
    <w:rsid w:val="00CC22B0"/>
    <w:rsid w:val="00CC2EC0"/>
    <w:rsid w:val="00CC2F79"/>
    <w:rsid w:val="00CC343E"/>
    <w:rsid w:val="00CC362F"/>
    <w:rsid w:val="00CC389F"/>
    <w:rsid w:val="00CC417B"/>
    <w:rsid w:val="00CC468E"/>
    <w:rsid w:val="00CC477C"/>
    <w:rsid w:val="00CC48B9"/>
    <w:rsid w:val="00CC4EE6"/>
    <w:rsid w:val="00CC527F"/>
    <w:rsid w:val="00CC5373"/>
    <w:rsid w:val="00CC53A5"/>
    <w:rsid w:val="00CC547D"/>
    <w:rsid w:val="00CC5530"/>
    <w:rsid w:val="00CC5A71"/>
    <w:rsid w:val="00CC5E55"/>
    <w:rsid w:val="00CC5FD7"/>
    <w:rsid w:val="00CC6286"/>
    <w:rsid w:val="00CC62AD"/>
    <w:rsid w:val="00CC6517"/>
    <w:rsid w:val="00CC657D"/>
    <w:rsid w:val="00CC703C"/>
    <w:rsid w:val="00CC7257"/>
    <w:rsid w:val="00CC7487"/>
    <w:rsid w:val="00CC77D4"/>
    <w:rsid w:val="00CC7960"/>
    <w:rsid w:val="00CC7A61"/>
    <w:rsid w:val="00CC7B4C"/>
    <w:rsid w:val="00CD03D4"/>
    <w:rsid w:val="00CD04AE"/>
    <w:rsid w:val="00CD067D"/>
    <w:rsid w:val="00CD08CF"/>
    <w:rsid w:val="00CD0993"/>
    <w:rsid w:val="00CD1023"/>
    <w:rsid w:val="00CD112F"/>
    <w:rsid w:val="00CD1422"/>
    <w:rsid w:val="00CD198A"/>
    <w:rsid w:val="00CD1ACE"/>
    <w:rsid w:val="00CD2128"/>
    <w:rsid w:val="00CD220B"/>
    <w:rsid w:val="00CD2360"/>
    <w:rsid w:val="00CD2392"/>
    <w:rsid w:val="00CD2645"/>
    <w:rsid w:val="00CD28BE"/>
    <w:rsid w:val="00CD2BE0"/>
    <w:rsid w:val="00CD2C8E"/>
    <w:rsid w:val="00CD2CD1"/>
    <w:rsid w:val="00CD2D43"/>
    <w:rsid w:val="00CD2DBE"/>
    <w:rsid w:val="00CD2F14"/>
    <w:rsid w:val="00CD2F89"/>
    <w:rsid w:val="00CD3192"/>
    <w:rsid w:val="00CD35C7"/>
    <w:rsid w:val="00CD374D"/>
    <w:rsid w:val="00CD3938"/>
    <w:rsid w:val="00CD3B01"/>
    <w:rsid w:val="00CD3C83"/>
    <w:rsid w:val="00CD3CAA"/>
    <w:rsid w:val="00CD3D45"/>
    <w:rsid w:val="00CD4008"/>
    <w:rsid w:val="00CD4079"/>
    <w:rsid w:val="00CD4182"/>
    <w:rsid w:val="00CD43AD"/>
    <w:rsid w:val="00CD43E4"/>
    <w:rsid w:val="00CD479B"/>
    <w:rsid w:val="00CD4849"/>
    <w:rsid w:val="00CD4C3F"/>
    <w:rsid w:val="00CD4F86"/>
    <w:rsid w:val="00CD52C9"/>
    <w:rsid w:val="00CD53BE"/>
    <w:rsid w:val="00CD55EB"/>
    <w:rsid w:val="00CD56A2"/>
    <w:rsid w:val="00CD583A"/>
    <w:rsid w:val="00CD59C6"/>
    <w:rsid w:val="00CD5AF1"/>
    <w:rsid w:val="00CD5D5B"/>
    <w:rsid w:val="00CD5DD5"/>
    <w:rsid w:val="00CD6268"/>
    <w:rsid w:val="00CD67A1"/>
    <w:rsid w:val="00CD6885"/>
    <w:rsid w:val="00CD6A56"/>
    <w:rsid w:val="00CD6C90"/>
    <w:rsid w:val="00CD6E3D"/>
    <w:rsid w:val="00CD6F4C"/>
    <w:rsid w:val="00CD710C"/>
    <w:rsid w:val="00CD7489"/>
    <w:rsid w:val="00CD7744"/>
    <w:rsid w:val="00CD78AC"/>
    <w:rsid w:val="00CD7A82"/>
    <w:rsid w:val="00CD7C27"/>
    <w:rsid w:val="00CD7DA8"/>
    <w:rsid w:val="00CE0753"/>
    <w:rsid w:val="00CE0D05"/>
    <w:rsid w:val="00CE0FBA"/>
    <w:rsid w:val="00CE11D0"/>
    <w:rsid w:val="00CE120F"/>
    <w:rsid w:val="00CE134D"/>
    <w:rsid w:val="00CE193C"/>
    <w:rsid w:val="00CE1D3C"/>
    <w:rsid w:val="00CE1E87"/>
    <w:rsid w:val="00CE223A"/>
    <w:rsid w:val="00CE23A8"/>
    <w:rsid w:val="00CE23B3"/>
    <w:rsid w:val="00CE35C2"/>
    <w:rsid w:val="00CE37B2"/>
    <w:rsid w:val="00CE3809"/>
    <w:rsid w:val="00CE386F"/>
    <w:rsid w:val="00CE41F1"/>
    <w:rsid w:val="00CE4C41"/>
    <w:rsid w:val="00CE4C4D"/>
    <w:rsid w:val="00CE4E72"/>
    <w:rsid w:val="00CE4F40"/>
    <w:rsid w:val="00CE5091"/>
    <w:rsid w:val="00CE559A"/>
    <w:rsid w:val="00CE5769"/>
    <w:rsid w:val="00CE5BC1"/>
    <w:rsid w:val="00CE5BF3"/>
    <w:rsid w:val="00CE5F2D"/>
    <w:rsid w:val="00CE5F7A"/>
    <w:rsid w:val="00CE652B"/>
    <w:rsid w:val="00CE66D2"/>
    <w:rsid w:val="00CE6A45"/>
    <w:rsid w:val="00CE6E14"/>
    <w:rsid w:val="00CE7310"/>
    <w:rsid w:val="00CE78BB"/>
    <w:rsid w:val="00CE7E8B"/>
    <w:rsid w:val="00CE7EFD"/>
    <w:rsid w:val="00CF01A0"/>
    <w:rsid w:val="00CF098E"/>
    <w:rsid w:val="00CF098F"/>
    <w:rsid w:val="00CF0A09"/>
    <w:rsid w:val="00CF0BA4"/>
    <w:rsid w:val="00CF10C6"/>
    <w:rsid w:val="00CF1209"/>
    <w:rsid w:val="00CF1786"/>
    <w:rsid w:val="00CF1D3B"/>
    <w:rsid w:val="00CF203E"/>
    <w:rsid w:val="00CF2687"/>
    <w:rsid w:val="00CF2888"/>
    <w:rsid w:val="00CF2B25"/>
    <w:rsid w:val="00CF2C19"/>
    <w:rsid w:val="00CF2D59"/>
    <w:rsid w:val="00CF2E3A"/>
    <w:rsid w:val="00CF2EA8"/>
    <w:rsid w:val="00CF303B"/>
    <w:rsid w:val="00CF3132"/>
    <w:rsid w:val="00CF3226"/>
    <w:rsid w:val="00CF32AE"/>
    <w:rsid w:val="00CF351B"/>
    <w:rsid w:val="00CF35E3"/>
    <w:rsid w:val="00CF39EF"/>
    <w:rsid w:val="00CF3A1F"/>
    <w:rsid w:val="00CF3AA6"/>
    <w:rsid w:val="00CF3D5C"/>
    <w:rsid w:val="00CF4022"/>
    <w:rsid w:val="00CF40AB"/>
    <w:rsid w:val="00CF4126"/>
    <w:rsid w:val="00CF4647"/>
    <w:rsid w:val="00CF46A8"/>
    <w:rsid w:val="00CF4AEE"/>
    <w:rsid w:val="00CF4E47"/>
    <w:rsid w:val="00CF53EF"/>
    <w:rsid w:val="00CF5767"/>
    <w:rsid w:val="00CF57F1"/>
    <w:rsid w:val="00CF5BCA"/>
    <w:rsid w:val="00CF5F48"/>
    <w:rsid w:val="00CF628A"/>
    <w:rsid w:val="00CF6401"/>
    <w:rsid w:val="00CF66C0"/>
    <w:rsid w:val="00CF66F9"/>
    <w:rsid w:val="00CF6AA8"/>
    <w:rsid w:val="00CF6AAA"/>
    <w:rsid w:val="00CF6C62"/>
    <w:rsid w:val="00CF6CE4"/>
    <w:rsid w:val="00CF6D04"/>
    <w:rsid w:val="00CF6D4A"/>
    <w:rsid w:val="00CF6E9B"/>
    <w:rsid w:val="00CF6EA3"/>
    <w:rsid w:val="00CF6F06"/>
    <w:rsid w:val="00CF6FF1"/>
    <w:rsid w:val="00CF765A"/>
    <w:rsid w:val="00CF76CF"/>
    <w:rsid w:val="00CF7774"/>
    <w:rsid w:val="00CF795A"/>
    <w:rsid w:val="00CF7B60"/>
    <w:rsid w:val="00CF7CD6"/>
    <w:rsid w:val="00CF7E7A"/>
    <w:rsid w:val="00D00720"/>
    <w:rsid w:val="00D00886"/>
    <w:rsid w:val="00D0095B"/>
    <w:rsid w:val="00D00D2B"/>
    <w:rsid w:val="00D0119D"/>
    <w:rsid w:val="00D013BF"/>
    <w:rsid w:val="00D01407"/>
    <w:rsid w:val="00D0154E"/>
    <w:rsid w:val="00D016E7"/>
    <w:rsid w:val="00D01B19"/>
    <w:rsid w:val="00D02177"/>
    <w:rsid w:val="00D023FF"/>
    <w:rsid w:val="00D029CC"/>
    <w:rsid w:val="00D02B83"/>
    <w:rsid w:val="00D02FA2"/>
    <w:rsid w:val="00D03961"/>
    <w:rsid w:val="00D039B5"/>
    <w:rsid w:val="00D03ADC"/>
    <w:rsid w:val="00D03C6E"/>
    <w:rsid w:val="00D03D0C"/>
    <w:rsid w:val="00D04157"/>
    <w:rsid w:val="00D04328"/>
    <w:rsid w:val="00D04340"/>
    <w:rsid w:val="00D043B6"/>
    <w:rsid w:val="00D043ED"/>
    <w:rsid w:val="00D0486F"/>
    <w:rsid w:val="00D048E8"/>
    <w:rsid w:val="00D04F82"/>
    <w:rsid w:val="00D05221"/>
    <w:rsid w:val="00D05408"/>
    <w:rsid w:val="00D0540D"/>
    <w:rsid w:val="00D0566E"/>
    <w:rsid w:val="00D056A3"/>
    <w:rsid w:val="00D057C1"/>
    <w:rsid w:val="00D057F6"/>
    <w:rsid w:val="00D05A82"/>
    <w:rsid w:val="00D05B61"/>
    <w:rsid w:val="00D05D32"/>
    <w:rsid w:val="00D06114"/>
    <w:rsid w:val="00D0645C"/>
    <w:rsid w:val="00D06461"/>
    <w:rsid w:val="00D0693D"/>
    <w:rsid w:val="00D06970"/>
    <w:rsid w:val="00D077B5"/>
    <w:rsid w:val="00D078B8"/>
    <w:rsid w:val="00D07C03"/>
    <w:rsid w:val="00D07C35"/>
    <w:rsid w:val="00D07C89"/>
    <w:rsid w:val="00D07C8A"/>
    <w:rsid w:val="00D07D00"/>
    <w:rsid w:val="00D07D6A"/>
    <w:rsid w:val="00D104B1"/>
    <w:rsid w:val="00D10821"/>
    <w:rsid w:val="00D10957"/>
    <w:rsid w:val="00D10B29"/>
    <w:rsid w:val="00D10C2C"/>
    <w:rsid w:val="00D10E68"/>
    <w:rsid w:val="00D112EE"/>
    <w:rsid w:val="00D118B4"/>
    <w:rsid w:val="00D119D7"/>
    <w:rsid w:val="00D12868"/>
    <w:rsid w:val="00D12B66"/>
    <w:rsid w:val="00D12D65"/>
    <w:rsid w:val="00D12DC0"/>
    <w:rsid w:val="00D12F95"/>
    <w:rsid w:val="00D13342"/>
    <w:rsid w:val="00D134C2"/>
    <w:rsid w:val="00D13544"/>
    <w:rsid w:val="00D13870"/>
    <w:rsid w:val="00D13987"/>
    <w:rsid w:val="00D13B2E"/>
    <w:rsid w:val="00D13DF2"/>
    <w:rsid w:val="00D13E62"/>
    <w:rsid w:val="00D140E1"/>
    <w:rsid w:val="00D140E5"/>
    <w:rsid w:val="00D141F5"/>
    <w:rsid w:val="00D143B3"/>
    <w:rsid w:val="00D14559"/>
    <w:rsid w:val="00D14AB5"/>
    <w:rsid w:val="00D14F77"/>
    <w:rsid w:val="00D1546A"/>
    <w:rsid w:val="00D1565E"/>
    <w:rsid w:val="00D15A9E"/>
    <w:rsid w:val="00D16647"/>
    <w:rsid w:val="00D168FA"/>
    <w:rsid w:val="00D16AA2"/>
    <w:rsid w:val="00D16C2C"/>
    <w:rsid w:val="00D17203"/>
    <w:rsid w:val="00D17432"/>
    <w:rsid w:val="00D17540"/>
    <w:rsid w:val="00D1769B"/>
    <w:rsid w:val="00D176B1"/>
    <w:rsid w:val="00D177F0"/>
    <w:rsid w:val="00D20013"/>
    <w:rsid w:val="00D20353"/>
    <w:rsid w:val="00D2070F"/>
    <w:rsid w:val="00D208D8"/>
    <w:rsid w:val="00D209DD"/>
    <w:rsid w:val="00D20D43"/>
    <w:rsid w:val="00D20DC7"/>
    <w:rsid w:val="00D20E08"/>
    <w:rsid w:val="00D21025"/>
    <w:rsid w:val="00D211DC"/>
    <w:rsid w:val="00D218FC"/>
    <w:rsid w:val="00D21C34"/>
    <w:rsid w:val="00D21F8B"/>
    <w:rsid w:val="00D22309"/>
    <w:rsid w:val="00D22315"/>
    <w:rsid w:val="00D223DD"/>
    <w:rsid w:val="00D228A5"/>
    <w:rsid w:val="00D22A0C"/>
    <w:rsid w:val="00D22A4D"/>
    <w:rsid w:val="00D2312F"/>
    <w:rsid w:val="00D232F9"/>
    <w:rsid w:val="00D2364E"/>
    <w:rsid w:val="00D23796"/>
    <w:rsid w:val="00D237D9"/>
    <w:rsid w:val="00D23E30"/>
    <w:rsid w:val="00D24117"/>
    <w:rsid w:val="00D2429E"/>
    <w:rsid w:val="00D24506"/>
    <w:rsid w:val="00D24684"/>
    <w:rsid w:val="00D24BF1"/>
    <w:rsid w:val="00D24D33"/>
    <w:rsid w:val="00D2502A"/>
    <w:rsid w:val="00D2518C"/>
    <w:rsid w:val="00D25256"/>
    <w:rsid w:val="00D25440"/>
    <w:rsid w:val="00D25DC7"/>
    <w:rsid w:val="00D260B2"/>
    <w:rsid w:val="00D262DA"/>
    <w:rsid w:val="00D26663"/>
    <w:rsid w:val="00D26743"/>
    <w:rsid w:val="00D268E2"/>
    <w:rsid w:val="00D26CB4"/>
    <w:rsid w:val="00D271EA"/>
    <w:rsid w:val="00D2729C"/>
    <w:rsid w:val="00D275E9"/>
    <w:rsid w:val="00D27F9B"/>
    <w:rsid w:val="00D30438"/>
    <w:rsid w:val="00D307DD"/>
    <w:rsid w:val="00D307E7"/>
    <w:rsid w:val="00D3080E"/>
    <w:rsid w:val="00D3093A"/>
    <w:rsid w:val="00D30A8A"/>
    <w:rsid w:val="00D30EB0"/>
    <w:rsid w:val="00D312B5"/>
    <w:rsid w:val="00D31458"/>
    <w:rsid w:val="00D3181A"/>
    <w:rsid w:val="00D319A1"/>
    <w:rsid w:val="00D31BFD"/>
    <w:rsid w:val="00D31E0D"/>
    <w:rsid w:val="00D32023"/>
    <w:rsid w:val="00D3216B"/>
    <w:rsid w:val="00D32270"/>
    <w:rsid w:val="00D32830"/>
    <w:rsid w:val="00D32B0A"/>
    <w:rsid w:val="00D32B9B"/>
    <w:rsid w:val="00D32BB1"/>
    <w:rsid w:val="00D32F7E"/>
    <w:rsid w:val="00D3322F"/>
    <w:rsid w:val="00D3356D"/>
    <w:rsid w:val="00D335C4"/>
    <w:rsid w:val="00D335D3"/>
    <w:rsid w:val="00D335F9"/>
    <w:rsid w:val="00D33D31"/>
    <w:rsid w:val="00D33DD5"/>
    <w:rsid w:val="00D33F4B"/>
    <w:rsid w:val="00D340DB"/>
    <w:rsid w:val="00D341AD"/>
    <w:rsid w:val="00D342CF"/>
    <w:rsid w:val="00D342DA"/>
    <w:rsid w:val="00D3468C"/>
    <w:rsid w:val="00D3484E"/>
    <w:rsid w:val="00D34C86"/>
    <w:rsid w:val="00D34CAC"/>
    <w:rsid w:val="00D35423"/>
    <w:rsid w:val="00D35821"/>
    <w:rsid w:val="00D361E7"/>
    <w:rsid w:val="00D363DD"/>
    <w:rsid w:val="00D365DB"/>
    <w:rsid w:val="00D36A46"/>
    <w:rsid w:val="00D36A86"/>
    <w:rsid w:val="00D37636"/>
    <w:rsid w:val="00D37A13"/>
    <w:rsid w:val="00D37FE2"/>
    <w:rsid w:val="00D4035E"/>
    <w:rsid w:val="00D403D8"/>
    <w:rsid w:val="00D4045C"/>
    <w:rsid w:val="00D40693"/>
    <w:rsid w:val="00D40D3E"/>
    <w:rsid w:val="00D40EB4"/>
    <w:rsid w:val="00D40F69"/>
    <w:rsid w:val="00D41304"/>
    <w:rsid w:val="00D4144D"/>
    <w:rsid w:val="00D41966"/>
    <w:rsid w:val="00D41C5A"/>
    <w:rsid w:val="00D42162"/>
    <w:rsid w:val="00D4251F"/>
    <w:rsid w:val="00D4299F"/>
    <w:rsid w:val="00D42A10"/>
    <w:rsid w:val="00D42F26"/>
    <w:rsid w:val="00D4455B"/>
    <w:rsid w:val="00D44561"/>
    <w:rsid w:val="00D44A20"/>
    <w:rsid w:val="00D45051"/>
    <w:rsid w:val="00D451F7"/>
    <w:rsid w:val="00D4536F"/>
    <w:rsid w:val="00D453A8"/>
    <w:rsid w:val="00D455DB"/>
    <w:rsid w:val="00D4569D"/>
    <w:rsid w:val="00D4583C"/>
    <w:rsid w:val="00D45F2D"/>
    <w:rsid w:val="00D46012"/>
    <w:rsid w:val="00D46276"/>
    <w:rsid w:val="00D46337"/>
    <w:rsid w:val="00D46538"/>
    <w:rsid w:val="00D4684E"/>
    <w:rsid w:val="00D46C20"/>
    <w:rsid w:val="00D46E85"/>
    <w:rsid w:val="00D473B7"/>
    <w:rsid w:val="00D475A6"/>
    <w:rsid w:val="00D476AF"/>
    <w:rsid w:val="00D476B3"/>
    <w:rsid w:val="00D4794E"/>
    <w:rsid w:val="00D47C3D"/>
    <w:rsid w:val="00D47D58"/>
    <w:rsid w:val="00D500D5"/>
    <w:rsid w:val="00D50162"/>
    <w:rsid w:val="00D506BE"/>
    <w:rsid w:val="00D508C2"/>
    <w:rsid w:val="00D51161"/>
    <w:rsid w:val="00D516BC"/>
    <w:rsid w:val="00D5181B"/>
    <w:rsid w:val="00D51BCF"/>
    <w:rsid w:val="00D51DB3"/>
    <w:rsid w:val="00D51FE0"/>
    <w:rsid w:val="00D52493"/>
    <w:rsid w:val="00D5289D"/>
    <w:rsid w:val="00D52C64"/>
    <w:rsid w:val="00D52D46"/>
    <w:rsid w:val="00D53634"/>
    <w:rsid w:val="00D538C2"/>
    <w:rsid w:val="00D53933"/>
    <w:rsid w:val="00D53C4D"/>
    <w:rsid w:val="00D53C67"/>
    <w:rsid w:val="00D53C75"/>
    <w:rsid w:val="00D53F3B"/>
    <w:rsid w:val="00D549A0"/>
    <w:rsid w:val="00D54B73"/>
    <w:rsid w:val="00D54EFF"/>
    <w:rsid w:val="00D54FF1"/>
    <w:rsid w:val="00D553F1"/>
    <w:rsid w:val="00D554B5"/>
    <w:rsid w:val="00D5551F"/>
    <w:rsid w:val="00D55B82"/>
    <w:rsid w:val="00D55C1A"/>
    <w:rsid w:val="00D56010"/>
    <w:rsid w:val="00D5655B"/>
    <w:rsid w:val="00D569FF"/>
    <w:rsid w:val="00D56ACB"/>
    <w:rsid w:val="00D56AD6"/>
    <w:rsid w:val="00D56C57"/>
    <w:rsid w:val="00D56CB9"/>
    <w:rsid w:val="00D56CFF"/>
    <w:rsid w:val="00D56E2B"/>
    <w:rsid w:val="00D56EA7"/>
    <w:rsid w:val="00D575BA"/>
    <w:rsid w:val="00D5777B"/>
    <w:rsid w:val="00D57A15"/>
    <w:rsid w:val="00D600B6"/>
    <w:rsid w:val="00D60141"/>
    <w:rsid w:val="00D60A1F"/>
    <w:rsid w:val="00D60AAE"/>
    <w:rsid w:val="00D60DF2"/>
    <w:rsid w:val="00D61B03"/>
    <w:rsid w:val="00D62119"/>
    <w:rsid w:val="00D622AA"/>
    <w:rsid w:val="00D6275F"/>
    <w:rsid w:val="00D62DC6"/>
    <w:rsid w:val="00D632B1"/>
    <w:rsid w:val="00D6342B"/>
    <w:rsid w:val="00D634C6"/>
    <w:rsid w:val="00D636FB"/>
    <w:rsid w:val="00D63947"/>
    <w:rsid w:val="00D63C4B"/>
    <w:rsid w:val="00D63CEB"/>
    <w:rsid w:val="00D64003"/>
    <w:rsid w:val="00D64288"/>
    <w:rsid w:val="00D64327"/>
    <w:rsid w:val="00D6461D"/>
    <w:rsid w:val="00D648CA"/>
    <w:rsid w:val="00D64C0E"/>
    <w:rsid w:val="00D64DA3"/>
    <w:rsid w:val="00D64EF1"/>
    <w:rsid w:val="00D64FBC"/>
    <w:rsid w:val="00D65447"/>
    <w:rsid w:val="00D6599F"/>
    <w:rsid w:val="00D65ABC"/>
    <w:rsid w:val="00D65ADE"/>
    <w:rsid w:val="00D65D77"/>
    <w:rsid w:val="00D65FB6"/>
    <w:rsid w:val="00D6601A"/>
    <w:rsid w:val="00D663BB"/>
    <w:rsid w:val="00D66DFC"/>
    <w:rsid w:val="00D67028"/>
    <w:rsid w:val="00D670E5"/>
    <w:rsid w:val="00D6730F"/>
    <w:rsid w:val="00D67731"/>
    <w:rsid w:val="00D70372"/>
    <w:rsid w:val="00D7044F"/>
    <w:rsid w:val="00D70555"/>
    <w:rsid w:val="00D70882"/>
    <w:rsid w:val="00D70A68"/>
    <w:rsid w:val="00D70B01"/>
    <w:rsid w:val="00D70E34"/>
    <w:rsid w:val="00D70E44"/>
    <w:rsid w:val="00D70FBA"/>
    <w:rsid w:val="00D70FDF"/>
    <w:rsid w:val="00D71112"/>
    <w:rsid w:val="00D7117A"/>
    <w:rsid w:val="00D7169E"/>
    <w:rsid w:val="00D717D8"/>
    <w:rsid w:val="00D71CC0"/>
    <w:rsid w:val="00D71D8A"/>
    <w:rsid w:val="00D71DFD"/>
    <w:rsid w:val="00D71E17"/>
    <w:rsid w:val="00D71EC2"/>
    <w:rsid w:val="00D71FE8"/>
    <w:rsid w:val="00D72461"/>
    <w:rsid w:val="00D72652"/>
    <w:rsid w:val="00D726A9"/>
    <w:rsid w:val="00D726F6"/>
    <w:rsid w:val="00D7271A"/>
    <w:rsid w:val="00D729E7"/>
    <w:rsid w:val="00D72A1E"/>
    <w:rsid w:val="00D72CAF"/>
    <w:rsid w:val="00D731A9"/>
    <w:rsid w:val="00D7326A"/>
    <w:rsid w:val="00D733F0"/>
    <w:rsid w:val="00D73496"/>
    <w:rsid w:val="00D73559"/>
    <w:rsid w:val="00D7389B"/>
    <w:rsid w:val="00D74013"/>
    <w:rsid w:val="00D740C3"/>
    <w:rsid w:val="00D74361"/>
    <w:rsid w:val="00D74D76"/>
    <w:rsid w:val="00D74EFB"/>
    <w:rsid w:val="00D74F0C"/>
    <w:rsid w:val="00D74FCC"/>
    <w:rsid w:val="00D75207"/>
    <w:rsid w:val="00D755BB"/>
    <w:rsid w:val="00D7564C"/>
    <w:rsid w:val="00D759E7"/>
    <w:rsid w:val="00D75E55"/>
    <w:rsid w:val="00D76029"/>
    <w:rsid w:val="00D76243"/>
    <w:rsid w:val="00D767B8"/>
    <w:rsid w:val="00D76F39"/>
    <w:rsid w:val="00D770DB"/>
    <w:rsid w:val="00D77167"/>
    <w:rsid w:val="00D7728D"/>
    <w:rsid w:val="00D774B3"/>
    <w:rsid w:val="00D7787A"/>
    <w:rsid w:val="00D778A0"/>
    <w:rsid w:val="00D77983"/>
    <w:rsid w:val="00D77D0E"/>
    <w:rsid w:val="00D80086"/>
    <w:rsid w:val="00D80446"/>
    <w:rsid w:val="00D804D6"/>
    <w:rsid w:val="00D806B3"/>
    <w:rsid w:val="00D80907"/>
    <w:rsid w:val="00D80DD3"/>
    <w:rsid w:val="00D81387"/>
    <w:rsid w:val="00D81562"/>
    <w:rsid w:val="00D819C7"/>
    <w:rsid w:val="00D81AB1"/>
    <w:rsid w:val="00D81D8E"/>
    <w:rsid w:val="00D8222F"/>
    <w:rsid w:val="00D82429"/>
    <w:rsid w:val="00D8248B"/>
    <w:rsid w:val="00D82963"/>
    <w:rsid w:val="00D82E95"/>
    <w:rsid w:val="00D830D1"/>
    <w:rsid w:val="00D8334F"/>
    <w:rsid w:val="00D834AF"/>
    <w:rsid w:val="00D837CD"/>
    <w:rsid w:val="00D8385A"/>
    <w:rsid w:val="00D83D3D"/>
    <w:rsid w:val="00D84460"/>
    <w:rsid w:val="00D84557"/>
    <w:rsid w:val="00D849C6"/>
    <w:rsid w:val="00D84B86"/>
    <w:rsid w:val="00D84B94"/>
    <w:rsid w:val="00D84CB0"/>
    <w:rsid w:val="00D85167"/>
    <w:rsid w:val="00D852B6"/>
    <w:rsid w:val="00D8538A"/>
    <w:rsid w:val="00D8562D"/>
    <w:rsid w:val="00D85A4A"/>
    <w:rsid w:val="00D85E5F"/>
    <w:rsid w:val="00D85F96"/>
    <w:rsid w:val="00D8674D"/>
    <w:rsid w:val="00D86753"/>
    <w:rsid w:val="00D86A2D"/>
    <w:rsid w:val="00D86E34"/>
    <w:rsid w:val="00D86E77"/>
    <w:rsid w:val="00D86FFB"/>
    <w:rsid w:val="00D8729E"/>
    <w:rsid w:val="00D872E4"/>
    <w:rsid w:val="00D873B8"/>
    <w:rsid w:val="00D87485"/>
    <w:rsid w:val="00D87554"/>
    <w:rsid w:val="00D875F1"/>
    <w:rsid w:val="00D87663"/>
    <w:rsid w:val="00D87959"/>
    <w:rsid w:val="00D87A3A"/>
    <w:rsid w:val="00D87A9F"/>
    <w:rsid w:val="00D87D47"/>
    <w:rsid w:val="00D87D7E"/>
    <w:rsid w:val="00D87FE8"/>
    <w:rsid w:val="00D903D1"/>
    <w:rsid w:val="00D91083"/>
    <w:rsid w:val="00D911A5"/>
    <w:rsid w:val="00D917B6"/>
    <w:rsid w:val="00D91F1B"/>
    <w:rsid w:val="00D92082"/>
    <w:rsid w:val="00D9258E"/>
    <w:rsid w:val="00D926AD"/>
    <w:rsid w:val="00D927F0"/>
    <w:rsid w:val="00D92D00"/>
    <w:rsid w:val="00D9342B"/>
    <w:rsid w:val="00D934DA"/>
    <w:rsid w:val="00D936B3"/>
    <w:rsid w:val="00D93C20"/>
    <w:rsid w:val="00D93E1F"/>
    <w:rsid w:val="00D94276"/>
    <w:rsid w:val="00D942B6"/>
    <w:rsid w:val="00D943CA"/>
    <w:rsid w:val="00D95007"/>
    <w:rsid w:val="00D950A1"/>
    <w:rsid w:val="00D9537C"/>
    <w:rsid w:val="00D9539A"/>
    <w:rsid w:val="00D953DD"/>
    <w:rsid w:val="00D956F5"/>
    <w:rsid w:val="00D95894"/>
    <w:rsid w:val="00D959D8"/>
    <w:rsid w:val="00D95EC6"/>
    <w:rsid w:val="00D9627A"/>
    <w:rsid w:val="00D96340"/>
    <w:rsid w:val="00D96635"/>
    <w:rsid w:val="00D96A4E"/>
    <w:rsid w:val="00D97214"/>
    <w:rsid w:val="00D97432"/>
    <w:rsid w:val="00D97C4A"/>
    <w:rsid w:val="00D97D79"/>
    <w:rsid w:val="00DA03D5"/>
    <w:rsid w:val="00DA0754"/>
    <w:rsid w:val="00DA09CC"/>
    <w:rsid w:val="00DA0B26"/>
    <w:rsid w:val="00DA0C66"/>
    <w:rsid w:val="00DA0E0B"/>
    <w:rsid w:val="00DA1818"/>
    <w:rsid w:val="00DA2119"/>
    <w:rsid w:val="00DA221B"/>
    <w:rsid w:val="00DA24E6"/>
    <w:rsid w:val="00DA28C2"/>
    <w:rsid w:val="00DA2932"/>
    <w:rsid w:val="00DA2B79"/>
    <w:rsid w:val="00DA2C63"/>
    <w:rsid w:val="00DA2DB7"/>
    <w:rsid w:val="00DA2E7B"/>
    <w:rsid w:val="00DA3075"/>
    <w:rsid w:val="00DA3262"/>
    <w:rsid w:val="00DA35B9"/>
    <w:rsid w:val="00DA3932"/>
    <w:rsid w:val="00DA3AF1"/>
    <w:rsid w:val="00DA3CA1"/>
    <w:rsid w:val="00DA3EDA"/>
    <w:rsid w:val="00DA3EF9"/>
    <w:rsid w:val="00DA407E"/>
    <w:rsid w:val="00DA41C9"/>
    <w:rsid w:val="00DA4405"/>
    <w:rsid w:val="00DA442D"/>
    <w:rsid w:val="00DA4652"/>
    <w:rsid w:val="00DA4776"/>
    <w:rsid w:val="00DA49E2"/>
    <w:rsid w:val="00DA4FB5"/>
    <w:rsid w:val="00DA50EC"/>
    <w:rsid w:val="00DA515E"/>
    <w:rsid w:val="00DA5165"/>
    <w:rsid w:val="00DA5209"/>
    <w:rsid w:val="00DA563A"/>
    <w:rsid w:val="00DA5780"/>
    <w:rsid w:val="00DA586C"/>
    <w:rsid w:val="00DA5889"/>
    <w:rsid w:val="00DA5BA8"/>
    <w:rsid w:val="00DA5E9C"/>
    <w:rsid w:val="00DA61C9"/>
    <w:rsid w:val="00DA6251"/>
    <w:rsid w:val="00DA649E"/>
    <w:rsid w:val="00DA690D"/>
    <w:rsid w:val="00DA6B13"/>
    <w:rsid w:val="00DA6D00"/>
    <w:rsid w:val="00DA6F02"/>
    <w:rsid w:val="00DA71FE"/>
    <w:rsid w:val="00DA73A8"/>
    <w:rsid w:val="00DA741C"/>
    <w:rsid w:val="00DA74C4"/>
    <w:rsid w:val="00DA781C"/>
    <w:rsid w:val="00DA7C8D"/>
    <w:rsid w:val="00DA7FCA"/>
    <w:rsid w:val="00DB0180"/>
    <w:rsid w:val="00DB086C"/>
    <w:rsid w:val="00DB0913"/>
    <w:rsid w:val="00DB0B55"/>
    <w:rsid w:val="00DB0E48"/>
    <w:rsid w:val="00DB0F98"/>
    <w:rsid w:val="00DB19FD"/>
    <w:rsid w:val="00DB1B96"/>
    <w:rsid w:val="00DB1E55"/>
    <w:rsid w:val="00DB22C4"/>
    <w:rsid w:val="00DB257A"/>
    <w:rsid w:val="00DB2BB3"/>
    <w:rsid w:val="00DB31D5"/>
    <w:rsid w:val="00DB360F"/>
    <w:rsid w:val="00DB37D9"/>
    <w:rsid w:val="00DB38B2"/>
    <w:rsid w:val="00DB3AAE"/>
    <w:rsid w:val="00DB3C93"/>
    <w:rsid w:val="00DB407C"/>
    <w:rsid w:val="00DB4406"/>
    <w:rsid w:val="00DB4559"/>
    <w:rsid w:val="00DB4B4F"/>
    <w:rsid w:val="00DB53AB"/>
    <w:rsid w:val="00DB5505"/>
    <w:rsid w:val="00DB55B4"/>
    <w:rsid w:val="00DB5651"/>
    <w:rsid w:val="00DB59F4"/>
    <w:rsid w:val="00DB5A46"/>
    <w:rsid w:val="00DB5B2B"/>
    <w:rsid w:val="00DB5CE9"/>
    <w:rsid w:val="00DB5E34"/>
    <w:rsid w:val="00DB5E7A"/>
    <w:rsid w:val="00DB5EDB"/>
    <w:rsid w:val="00DB5FD1"/>
    <w:rsid w:val="00DB6693"/>
    <w:rsid w:val="00DB66BC"/>
    <w:rsid w:val="00DB708B"/>
    <w:rsid w:val="00DB7166"/>
    <w:rsid w:val="00DB720D"/>
    <w:rsid w:val="00DB751E"/>
    <w:rsid w:val="00DB7964"/>
    <w:rsid w:val="00DB7C05"/>
    <w:rsid w:val="00DC04BC"/>
    <w:rsid w:val="00DC071C"/>
    <w:rsid w:val="00DC0854"/>
    <w:rsid w:val="00DC0ED1"/>
    <w:rsid w:val="00DC10D5"/>
    <w:rsid w:val="00DC1536"/>
    <w:rsid w:val="00DC163F"/>
    <w:rsid w:val="00DC165D"/>
    <w:rsid w:val="00DC16CF"/>
    <w:rsid w:val="00DC1F67"/>
    <w:rsid w:val="00DC2095"/>
    <w:rsid w:val="00DC2105"/>
    <w:rsid w:val="00DC2244"/>
    <w:rsid w:val="00DC2246"/>
    <w:rsid w:val="00DC2285"/>
    <w:rsid w:val="00DC22F6"/>
    <w:rsid w:val="00DC2360"/>
    <w:rsid w:val="00DC255B"/>
    <w:rsid w:val="00DC26A7"/>
    <w:rsid w:val="00DC2774"/>
    <w:rsid w:val="00DC2942"/>
    <w:rsid w:val="00DC2B86"/>
    <w:rsid w:val="00DC2DA8"/>
    <w:rsid w:val="00DC34E5"/>
    <w:rsid w:val="00DC3660"/>
    <w:rsid w:val="00DC376E"/>
    <w:rsid w:val="00DC37FF"/>
    <w:rsid w:val="00DC422B"/>
    <w:rsid w:val="00DC42AE"/>
    <w:rsid w:val="00DC4637"/>
    <w:rsid w:val="00DC486E"/>
    <w:rsid w:val="00DC48AC"/>
    <w:rsid w:val="00DC4CFA"/>
    <w:rsid w:val="00DC513B"/>
    <w:rsid w:val="00DC52C2"/>
    <w:rsid w:val="00DC5C27"/>
    <w:rsid w:val="00DC5D44"/>
    <w:rsid w:val="00DC5FED"/>
    <w:rsid w:val="00DC60D8"/>
    <w:rsid w:val="00DC6256"/>
    <w:rsid w:val="00DC6A18"/>
    <w:rsid w:val="00DC6D04"/>
    <w:rsid w:val="00DC6D41"/>
    <w:rsid w:val="00DC70EE"/>
    <w:rsid w:val="00DC71A8"/>
    <w:rsid w:val="00DC7366"/>
    <w:rsid w:val="00DC7C26"/>
    <w:rsid w:val="00DC7F69"/>
    <w:rsid w:val="00DC7F7C"/>
    <w:rsid w:val="00DD0021"/>
    <w:rsid w:val="00DD00CF"/>
    <w:rsid w:val="00DD083D"/>
    <w:rsid w:val="00DD093A"/>
    <w:rsid w:val="00DD0C7C"/>
    <w:rsid w:val="00DD100A"/>
    <w:rsid w:val="00DD1041"/>
    <w:rsid w:val="00DD13F9"/>
    <w:rsid w:val="00DD1E1E"/>
    <w:rsid w:val="00DD1E73"/>
    <w:rsid w:val="00DD1F17"/>
    <w:rsid w:val="00DD21C2"/>
    <w:rsid w:val="00DD22F5"/>
    <w:rsid w:val="00DD2415"/>
    <w:rsid w:val="00DD26A4"/>
    <w:rsid w:val="00DD27C8"/>
    <w:rsid w:val="00DD2928"/>
    <w:rsid w:val="00DD2A7F"/>
    <w:rsid w:val="00DD2BBE"/>
    <w:rsid w:val="00DD2D50"/>
    <w:rsid w:val="00DD306F"/>
    <w:rsid w:val="00DD318C"/>
    <w:rsid w:val="00DD32B3"/>
    <w:rsid w:val="00DD3597"/>
    <w:rsid w:val="00DD3692"/>
    <w:rsid w:val="00DD36AB"/>
    <w:rsid w:val="00DD3C5E"/>
    <w:rsid w:val="00DD3FD8"/>
    <w:rsid w:val="00DD41D4"/>
    <w:rsid w:val="00DD4814"/>
    <w:rsid w:val="00DD4E4C"/>
    <w:rsid w:val="00DD50C7"/>
    <w:rsid w:val="00DD5100"/>
    <w:rsid w:val="00DD540A"/>
    <w:rsid w:val="00DD571F"/>
    <w:rsid w:val="00DD5B63"/>
    <w:rsid w:val="00DD5C4E"/>
    <w:rsid w:val="00DD5F31"/>
    <w:rsid w:val="00DD5F5D"/>
    <w:rsid w:val="00DD5FF9"/>
    <w:rsid w:val="00DD600E"/>
    <w:rsid w:val="00DD6209"/>
    <w:rsid w:val="00DD621B"/>
    <w:rsid w:val="00DD6324"/>
    <w:rsid w:val="00DD637C"/>
    <w:rsid w:val="00DD6E8F"/>
    <w:rsid w:val="00DD7451"/>
    <w:rsid w:val="00DD7480"/>
    <w:rsid w:val="00DD7972"/>
    <w:rsid w:val="00DD79A3"/>
    <w:rsid w:val="00DE0342"/>
    <w:rsid w:val="00DE03FE"/>
    <w:rsid w:val="00DE0582"/>
    <w:rsid w:val="00DE0630"/>
    <w:rsid w:val="00DE0709"/>
    <w:rsid w:val="00DE09A8"/>
    <w:rsid w:val="00DE0BB1"/>
    <w:rsid w:val="00DE0CC6"/>
    <w:rsid w:val="00DE0E7E"/>
    <w:rsid w:val="00DE102A"/>
    <w:rsid w:val="00DE1051"/>
    <w:rsid w:val="00DE11A8"/>
    <w:rsid w:val="00DE12F2"/>
    <w:rsid w:val="00DE130C"/>
    <w:rsid w:val="00DE1412"/>
    <w:rsid w:val="00DE1889"/>
    <w:rsid w:val="00DE1F2E"/>
    <w:rsid w:val="00DE2030"/>
    <w:rsid w:val="00DE2238"/>
    <w:rsid w:val="00DE2802"/>
    <w:rsid w:val="00DE28CF"/>
    <w:rsid w:val="00DE2BEB"/>
    <w:rsid w:val="00DE2C72"/>
    <w:rsid w:val="00DE2D4A"/>
    <w:rsid w:val="00DE2D76"/>
    <w:rsid w:val="00DE2F37"/>
    <w:rsid w:val="00DE30F6"/>
    <w:rsid w:val="00DE310F"/>
    <w:rsid w:val="00DE3308"/>
    <w:rsid w:val="00DE34BF"/>
    <w:rsid w:val="00DE371D"/>
    <w:rsid w:val="00DE395D"/>
    <w:rsid w:val="00DE3BD0"/>
    <w:rsid w:val="00DE3DD2"/>
    <w:rsid w:val="00DE3F98"/>
    <w:rsid w:val="00DE421E"/>
    <w:rsid w:val="00DE4449"/>
    <w:rsid w:val="00DE46C8"/>
    <w:rsid w:val="00DE474C"/>
    <w:rsid w:val="00DE4B9D"/>
    <w:rsid w:val="00DE4F60"/>
    <w:rsid w:val="00DE5042"/>
    <w:rsid w:val="00DE5685"/>
    <w:rsid w:val="00DE57BE"/>
    <w:rsid w:val="00DE5A31"/>
    <w:rsid w:val="00DE5B0D"/>
    <w:rsid w:val="00DE61A3"/>
    <w:rsid w:val="00DE641A"/>
    <w:rsid w:val="00DE663F"/>
    <w:rsid w:val="00DE66C5"/>
    <w:rsid w:val="00DE68B8"/>
    <w:rsid w:val="00DE6CC8"/>
    <w:rsid w:val="00DE6DCF"/>
    <w:rsid w:val="00DE75FA"/>
    <w:rsid w:val="00DE7D99"/>
    <w:rsid w:val="00DE7F68"/>
    <w:rsid w:val="00DF084A"/>
    <w:rsid w:val="00DF09FE"/>
    <w:rsid w:val="00DF0A09"/>
    <w:rsid w:val="00DF0A6F"/>
    <w:rsid w:val="00DF0A80"/>
    <w:rsid w:val="00DF0F0D"/>
    <w:rsid w:val="00DF149D"/>
    <w:rsid w:val="00DF14B1"/>
    <w:rsid w:val="00DF15C9"/>
    <w:rsid w:val="00DF1997"/>
    <w:rsid w:val="00DF1CC9"/>
    <w:rsid w:val="00DF2018"/>
    <w:rsid w:val="00DF2723"/>
    <w:rsid w:val="00DF2BB9"/>
    <w:rsid w:val="00DF2BEA"/>
    <w:rsid w:val="00DF2E08"/>
    <w:rsid w:val="00DF3373"/>
    <w:rsid w:val="00DF3379"/>
    <w:rsid w:val="00DF364D"/>
    <w:rsid w:val="00DF3659"/>
    <w:rsid w:val="00DF37FE"/>
    <w:rsid w:val="00DF3866"/>
    <w:rsid w:val="00DF3A71"/>
    <w:rsid w:val="00DF3C2D"/>
    <w:rsid w:val="00DF3DA2"/>
    <w:rsid w:val="00DF3E97"/>
    <w:rsid w:val="00DF3F0A"/>
    <w:rsid w:val="00DF42A8"/>
    <w:rsid w:val="00DF468B"/>
    <w:rsid w:val="00DF5235"/>
    <w:rsid w:val="00DF5832"/>
    <w:rsid w:val="00DF5B88"/>
    <w:rsid w:val="00DF5D17"/>
    <w:rsid w:val="00DF5D70"/>
    <w:rsid w:val="00DF60FD"/>
    <w:rsid w:val="00DF675B"/>
    <w:rsid w:val="00DF70CD"/>
    <w:rsid w:val="00DF7222"/>
    <w:rsid w:val="00DF757B"/>
    <w:rsid w:val="00DF761C"/>
    <w:rsid w:val="00DF787A"/>
    <w:rsid w:val="00DF78AC"/>
    <w:rsid w:val="00DF799B"/>
    <w:rsid w:val="00E00D36"/>
    <w:rsid w:val="00E00E6C"/>
    <w:rsid w:val="00E0139A"/>
    <w:rsid w:val="00E018C9"/>
    <w:rsid w:val="00E019D1"/>
    <w:rsid w:val="00E01A59"/>
    <w:rsid w:val="00E01BFE"/>
    <w:rsid w:val="00E01C69"/>
    <w:rsid w:val="00E01D56"/>
    <w:rsid w:val="00E01E22"/>
    <w:rsid w:val="00E01E8C"/>
    <w:rsid w:val="00E01EC6"/>
    <w:rsid w:val="00E02072"/>
    <w:rsid w:val="00E0209F"/>
    <w:rsid w:val="00E02163"/>
    <w:rsid w:val="00E021FE"/>
    <w:rsid w:val="00E0221C"/>
    <w:rsid w:val="00E02452"/>
    <w:rsid w:val="00E02558"/>
    <w:rsid w:val="00E02ABF"/>
    <w:rsid w:val="00E02D64"/>
    <w:rsid w:val="00E02E04"/>
    <w:rsid w:val="00E02FA1"/>
    <w:rsid w:val="00E03048"/>
    <w:rsid w:val="00E0396E"/>
    <w:rsid w:val="00E03AD0"/>
    <w:rsid w:val="00E041D7"/>
    <w:rsid w:val="00E04253"/>
    <w:rsid w:val="00E0438B"/>
    <w:rsid w:val="00E04964"/>
    <w:rsid w:val="00E04B4D"/>
    <w:rsid w:val="00E04C83"/>
    <w:rsid w:val="00E051A9"/>
    <w:rsid w:val="00E0525E"/>
    <w:rsid w:val="00E0578B"/>
    <w:rsid w:val="00E05ABC"/>
    <w:rsid w:val="00E05CF7"/>
    <w:rsid w:val="00E05F5D"/>
    <w:rsid w:val="00E06016"/>
    <w:rsid w:val="00E062DB"/>
    <w:rsid w:val="00E06446"/>
    <w:rsid w:val="00E0656E"/>
    <w:rsid w:val="00E0689F"/>
    <w:rsid w:val="00E06E52"/>
    <w:rsid w:val="00E06E9D"/>
    <w:rsid w:val="00E07024"/>
    <w:rsid w:val="00E070E4"/>
    <w:rsid w:val="00E07272"/>
    <w:rsid w:val="00E07295"/>
    <w:rsid w:val="00E07296"/>
    <w:rsid w:val="00E07460"/>
    <w:rsid w:val="00E07ABE"/>
    <w:rsid w:val="00E10569"/>
    <w:rsid w:val="00E1056C"/>
    <w:rsid w:val="00E1066E"/>
    <w:rsid w:val="00E11044"/>
    <w:rsid w:val="00E11460"/>
    <w:rsid w:val="00E118D3"/>
    <w:rsid w:val="00E12656"/>
    <w:rsid w:val="00E1282E"/>
    <w:rsid w:val="00E1293A"/>
    <w:rsid w:val="00E12955"/>
    <w:rsid w:val="00E12DEC"/>
    <w:rsid w:val="00E12FE7"/>
    <w:rsid w:val="00E1375D"/>
    <w:rsid w:val="00E138B5"/>
    <w:rsid w:val="00E13933"/>
    <w:rsid w:val="00E14258"/>
    <w:rsid w:val="00E14541"/>
    <w:rsid w:val="00E148BA"/>
    <w:rsid w:val="00E14C09"/>
    <w:rsid w:val="00E14DE8"/>
    <w:rsid w:val="00E150CB"/>
    <w:rsid w:val="00E15353"/>
    <w:rsid w:val="00E15ACA"/>
    <w:rsid w:val="00E1677B"/>
    <w:rsid w:val="00E16FE7"/>
    <w:rsid w:val="00E17175"/>
    <w:rsid w:val="00E172DB"/>
    <w:rsid w:val="00E1751C"/>
    <w:rsid w:val="00E17AE9"/>
    <w:rsid w:val="00E17C0D"/>
    <w:rsid w:val="00E206B4"/>
    <w:rsid w:val="00E21368"/>
    <w:rsid w:val="00E2142F"/>
    <w:rsid w:val="00E2193F"/>
    <w:rsid w:val="00E219CF"/>
    <w:rsid w:val="00E21EA8"/>
    <w:rsid w:val="00E21EF9"/>
    <w:rsid w:val="00E22564"/>
    <w:rsid w:val="00E22920"/>
    <w:rsid w:val="00E22985"/>
    <w:rsid w:val="00E22A2E"/>
    <w:rsid w:val="00E22C93"/>
    <w:rsid w:val="00E230B9"/>
    <w:rsid w:val="00E236D2"/>
    <w:rsid w:val="00E23CDE"/>
    <w:rsid w:val="00E23E85"/>
    <w:rsid w:val="00E23F45"/>
    <w:rsid w:val="00E241C8"/>
    <w:rsid w:val="00E244AD"/>
    <w:rsid w:val="00E248B1"/>
    <w:rsid w:val="00E24B74"/>
    <w:rsid w:val="00E24DE9"/>
    <w:rsid w:val="00E24E2B"/>
    <w:rsid w:val="00E24F17"/>
    <w:rsid w:val="00E24F29"/>
    <w:rsid w:val="00E25013"/>
    <w:rsid w:val="00E25055"/>
    <w:rsid w:val="00E2552F"/>
    <w:rsid w:val="00E25892"/>
    <w:rsid w:val="00E25A6D"/>
    <w:rsid w:val="00E25A9B"/>
    <w:rsid w:val="00E25D5E"/>
    <w:rsid w:val="00E25DEA"/>
    <w:rsid w:val="00E2614A"/>
    <w:rsid w:val="00E263EB"/>
    <w:rsid w:val="00E26447"/>
    <w:rsid w:val="00E26660"/>
    <w:rsid w:val="00E2693B"/>
    <w:rsid w:val="00E26C31"/>
    <w:rsid w:val="00E26DBC"/>
    <w:rsid w:val="00E2710E"/>
    <w:rsid w:val="00E275CB"/>
    <w:rsid w:val="00E27685"/>
    <w:rsid w:val="00E27741"/>
    <w:rsid w:val="00E27A79"/>
    <w:rsid w:val="00E27C4A"/>
    <w:rsid w:val="00E27D41"/>
    <w:rsid w:val="00E27EB5"/>
    <w:rsid w:val="00E304E8"/>
    <w:rsid w:val="00E30E77"/>
    <w:rsid w:val="00E30FED"/>
    <w:rsid w:val="00E3156E"/>
    <w:rsid w:val="00E3163A"/>
    <w:rsid w:val="00E31FD8"/>
    <w:rsid w:val="00E32534"/>
    <w:rsid w:val="00E326AA"/>
    <w:rsid w:val="00E329F4"/>
    <w:rsid w:val="00E32B55"/>
    <w:rsid w:val="00E32C86"/>
    <w:rsid w:val="00E32D33"/>
    <w:rsid w:val="00E32F0F"/>
    <w:rsid w:val="00E33339"/>
    <w:rsid w:val="00E33679"/>
    <w:rsid w:val="00E337FE"/>
    <w:rsid w:val="00E33DE6"/>
    <w:rsid w:val="00E34025"/>
    <w:rsid w:val="00E342FE"/>
    <w:rsid w:val="00E3458C"/>
    <w:rsid w:val="00E348DC"/>
    <w:rsid w:val="00E3495A"/>
    <w:rsid w:val="00E34A98"/>
    <w:rsid w:val="00E34D0E"/>
    <w:rsid w:val="00E34F2B"/>
    <w:rsid w:val="00E35028"/>
    <w:rsid w:val="00E352A9"/>
    <w:rsid w:val="00E3578C"/>
    <w:rsid w:val="00E35B78"/>
    <w:rsid w:val="00E35BE3"/>
    <w:rsid w:val="00E360E4"/>
    <w:rsid w:val="00E3653C"/>
    <w:rsid w:val="00E3667B"/>
    <w:rsid w:val="00E36980"/>
    <w:rsid w:val="00E369FB"/>
    <w:rsid w:val="00E36CC0"/>
    <w:rsid w:val="00E36CC4"/>
    <w:rsid w:val="00E36DDB"/>
    <w:rsid w:val="00E372A9"/>
    <w:rsid w:val="00E37349"/>
    <w:rsid w:val="00E37428"/>
    <w:rsid w:val="00E37605"/>
    <w:rsid w:val="00E377A1"/>
    <w:rsid w:val="00E3786F"/>
    <w:rsid w:val="00E37DA4"/>
    <w:rsid w:val="00E37FEB"/>
    <w:rsid w:val="00E40250"/>
    <w:rsid w:val="00E404A4"/>
    <w:rsid w:val="00E404D3"/>
    <w:rsid w:val="00E4067E"/>
    <w:rsid w:val="00E40738"/>
    <w:rsid w:val="00E416D6"/>
    <w:rsid w:val="00E41DA5"/>
    <w:rsid w:val="00E423BF"/>
    <w:rsid w:val="00E42A1F"/>
    <w:rsid w:val="00E42B5C"/>
    <w:rsid w:val="00E42DD7"/>
    <w:rsid w:val="00E4305F"/>
    <w:rsid w:val="00E4321C"/>
    <w:rsid w:val="00E43503"/>
    <w:rsid w:val="00E437AB"/>
    <w:rsid w:val="00E43A41"/>
    <w:rsid w:val="00E43E06"/>
    <w:rsid w:val="00E4410C"/>
    <w:rsid w:val="00E4422F"/>
    <w:rsid w:val="00E442B3"/>
    <w:rsid w:val="00E443A8"/>
    <w:rsid w:val="00E44646"/>
    <w:rsid w:val="00E446E6"/>
    <w:rsid w:val="00E44A9E"/>
    <w:rsid w:val="00E44D72"/>
    <w:rsid w:val="00E44E51"/>
    <w:rsid w:val="00E44FBF"/>
    <w:rsid w:val="00E4554C"/>
    <w:rsid w:val="00E46006"/>
    <w:rsid w:val="00E4629A"/>
    <w:rsid w:val="00E46908"/>
    <w:rsid w:val="00E46C8E"/>
    <w:rsid w:val="00E46C9E"/>
    <w:rsid w:val="00E46ECC"/>
    <w:rsid w:val="00E46FA7"/>
    <w:rsid w:val="00E470D2"/>
    <w:rsid w:val="00E47E34"/>
    <w:rsid w:val="00E47F7A"/>
    <w:rsid w:val="00E5004B"/>
    <w:rsid w:val="00E5007B"/>
    <w:rsid w:val="00E50231"/>
    <w:rsid w:val="00E502D6"/>
    <w:rsid w:val="00E50464"/>
    <w:rsid w:val="00E50499"/>
    <w:rsid w:val="00E504DD"/>
    <w:rsid w:val="00E5070D"/>
    <w:rsid w:val="00E50CD7"/>
    <w:rsid w:val="00E50FA9"/>
    <w:rsid w:val="00E511E5"/>
    <w:rsid w:val="00E51900"/>
    <w:rsid w:val="00E5276F"/>
    <w:rsid w:val="00E528F1"/>
    <w:rsid w:val="00E52996"/>
    <w:rsid w:val="00E529DA"/>
    <w:rsid w:val="00E52BED"/>
    <w:rsid w:val="00E53328"/>
    <w:rsid w:val="00E533FF"/>
    <w:rsid w:val="00E53417"/>
    <w:rsid w:val="00E5367C"/>
    <w:rsid w:val="00E53B53"/>
    <w:rsid w:val="00E53C53"/>
    <w:rsid w:val="00E5411C"/>
    <w:rsid w:val="00E5419B"/>
    <w:rsid w:val="00E549DE"/>
    <w:rsid w:val="00E54C18"/>
    <w:rsid w:val="00E54C47"/>
    <w:rsid w:val="00E54D66"/>
    <w:rsid w:val="00E54F3B"/>
    <w:rsid w:val="00E54FF7"/>
    <w:rsid w:val="00E55222"/>
    <w:rsid w:val="00E55418"/>
    <w:rsid w:val="00E55BEA"/>
    <w:rsid w:val="00E55DA6"/>
    <w:rsid w:val="00E561ED"/>
    <w:rsid w:val="00E567A5"/>
    <w:rsid w:val="00E56839"/>
    <w:rsid w:val="00E56A0C"/>
    <w:rsid w:val="00E56B48"/>
    <w:rsid w:val="00E57055"/>
    <w:rsid w:val="00E571B1"/>
    <w:rsid w:val="00E57338"/>
    <w:rsid w:val="00E57426"/>
    <w:rsid w:val="00E57683"/>
    <w:rsid w:val="00E576D3"/>
    <w:rsid w:val="00E57811"/>
    <w:rsid w:val="00E57B46"/>
    <w:rsid w:val="00E57BDF"/>
    <w:rsid w:val="00E57EEA"/>
    <w:rsid w:val="00E60EFF"/>
    <w:rsid w:val="00E617F1"/>
    <w:rsid w:val="00E61FC1"/>
    <w:rsid w:val="00E624BF"/>
    <w:rsid w:val="00E62866"/>
    <w:rsid w:val="00E62902"/>
    <w:rsid w:val="00E63050"/>
    <w:rsid w:val="00E63487"/>
    <w:rsid w:val="00E6359B"/>
    <w:rsid w:val="00E63854"/>
    <w:rsid w:val="00E63B3B"/>
    <w:rsid w:val="00E63C90"/>
    <w:rsid w:val="00E63E3C"/>
    <w:rsid w:val="00E64076"/>
    <w:rsid w:val="00E6409C"/>
    <w:rsid w:val="00E6475E"/>
    <w:rsid w:val="00E647D7"/>
    <w:rsid w:val="00E6495F"/>
    <w:rsid w:val="00E64A2F"/>
    <w:rsid w:val="00E64B3C"/>
    <w:rsid w:val="00E64B70"/>
    <w:rsid w:val="00E64BFA"/>
    <w:rsid w:val="00E64FD0"/>
    <w:rsid w:val="00E65278"/>
    <w:rsid w:val="00E65497"/>
    <w:rsid w:val="00E65B3F"/>
    <w:rsid w:val="00E65D72"/>
    <w:rsid w:val="00E65EE9"/>
    <w:rsid w:val="00E6620C"/>
    <w:rsid w:val="00E66AB9"/>
    <w:rsid w:val="00E66B34"/>
    <w:rsid w:val="00E66C2D"/>
    <w:rsid w:val="00E66FBB"/>
    <w:rsid w:val="00E6706A"/>
    <w:rsid w:val="00E67141"/>
    <w:rsid w:val="00E67640"/>
    <w:rsid w:val="00E67762"/>
    <w:rsid w:val="00E6788C"/>
    <w:rsid w:val="00E67890"/>
    <w:rsid w:val="00E679BC"/>
    <w:rsid w:val="00E679F9"/>
    <w:rsid w:val="00E67ACA"/>
    <w:rsid w:val="00E67D48"/>
    <w:rsid w:val="00E70979"/>
    <w:rsid w:val="00E70FDF"/>
    <w:rsid w:val="00E71065"/>
    <w:rsid w:val="00E711DD"/>
    <w:rsid w:val="00E71266"/>
    <w:rsid w:val="00E714DC"/>
    <w:rsid w:val="00E7173D"/>
    <w:rsid w:val="00E71CC6"/>
    <w:rsid w:val="00E71F42"/>
    <w:rsid w:val="00E72389"/>
    <w:rsid w:val="00E7245B"/>
    <w:rsid w:val="00E724FF"/>
    <w:rsid w:val="00E72974"/>
    <w:rsid w:val="00E729BE"/>
    <w:rsid w:val="00E72A1B"/>
    <w:rsid w:val="00E72B2A"/>
    <w:rsid w:val="00E73101"/>
    <w:rsid w:val="00E735F8"/>
    <w:rsid w:val="00E73893"/>
    <w:rsid w:val="00E738C7"/>
    <w:rsid w:val="00E739EB"/>
    <w:rsid w:val="00E73E84"/>
    <w:rsid w:val="00E73EB7"/>
    <w:rsid w:val="00E73EBE"/>
    <w:rsid w:val="00E74173"/>
    <w:rsid w:val="00E742C4"/>
    <w:rsid w:val="00E74671"/>
    <w:rsid w:val="00E74AF5"/>
    <w:rsid w:val="00E74E73"/>
    <w:rsid w:val="00E75470"/>
    <w:rsid w:val="00E756A5"/>
    <w:rsid w:val="00E75964"/>
    <w:rsid w:val="00E75A7B"/>
    <w:rsid w:val="00E75B9A"/>
    <w:rsid w:val="00E75C46"/>
    <w:rsid w:val="00E7662A"/>
    <w:rsid w:val="00E76793"/>
    <w:rsid w:val="00E767D5"/>
    <w:rsid w:val="00E76B8B"/>
    <w:rsid w:val="00E76C86"/>
    <w:rsid w:val="00E777EC"/>
    <w:rsid w:val="00E7783D"/>
    <w:rsid w:val="00E77D46"/>
    <w:rsid w:val="00E77DB9"/>
    <w:rsid w:val="00E80058"/>
    <w:rsid w:val="00E80308"/>
    <w:rsid w:val="00E805CD"/>
    <w:rsid w:val="00E80670"/>
    <w:rsid w:val="00E809ED"/>
    <w:rsid w:val="00E80A0F"/>
    <w:rsid w:val="00E80D60"/>
    <w:rsid w:val="00E8166B"/>
    <w:rsid w:val="00E81849"/>
    <w:rsid w:val="00E81AFC"/>
    <w:rsid w:val="00E82004"/>
    <w:rsid w:val="00E82039"/>
    <w:rsid w:val="00E82170"/>
    <w:rsid w:val="00E8220E"/>
    <w:rsid w:val="00E824B3"/>
    <w:rsid w:val="00E82577"/>
    <w:rsid w:val="00E82AD2"/>
    <w:rsid w:val="00E83151"/>
    <w:rsid w:val="00E832D5"/>
    <w:rsid w:val="00E833DA"/>
    <w:rsid w:val="00E84651"/>
    <w:rsid w:val="00E849FD"/>
    <w:rsid w:val="00E84B7B"/>
    <w:rsid w:val="00E84D0A"/>
    <w:rsid w:val="00E850DC"/>
    <w:rsid w:val="00E851DB"/>
    <w:rsid w:val="00E855F7"/>
    <w:rsid w:val="00E85760"/>
    <w:rsid w:val="00E86215"/>
    <w:rsid w:val="00E86290"/>
    <w:rsid w:val="00E86399"/>
    <w:rsid w:val="00E86504"/>
    <w:rsid w:val="00E868AD"/>
    <w:rsid w:val="00E86901"/>
    <w:rsid w:val="00E86D79"/>
    <w:rsid w:val="00E86E79"/>
    <w:rsid w:val="00E86F60"/>
    <w:rsid w:val="00E874AC"/>
    <w:rsid w:val="00E875E2"/>
    <w:rsid w:val="00E8761E"/>
    <w:rsid w:val="00E87833"/>
    <w:rsid w:val="00E879C1"/>
    <w:rsid w:val="00E87AD1"/>
    <w:rsid w:val="00E87D23"/>
    <w:rsid w:val="00E90655"/>
    <w:rsid w:val="00E90968"/>
    <w:rsid w:val="00E90BF0"/>
    <w:rsid w:val="00E90D3B"/>
    <w:rsid w:val="00E91013"/>
    <w:rsid w:val="00E911D3"/>
    <w:rsid w:val="00E91268"/>
    <w:rsid w:val="00E912B5"/>
    <w:rsid w:val="00E9171B"/>
    <w:rsid w:val="00E91A5B"/>
    <w:rsid w:val="00E91CB7"/>
    <w:rsid w:val="00E91CBE"/>
    <w:rsid w:val="00E92287"/>
    <w:rsid w:val="00E9297F"/>
    <w:rsid w:val="00E92AD2"/>
    <w:rsid w:val="00E92D3A"/>
    <w:rsid w:val="00E933FD"/>
    <w:rsid w:val="00E93443"/>
    <w:rsid w:val="00E93567"/>
    <w:rsid w:val="00E93B14"/>
    <w:rsid w:val="00E93E25"/>
    <w:rsid w:val="00E93FA0"/>
    <w:rsid w:val="00E94B9B"/>
    <w:rsid w:val="00E94E23"/>
    <w:rsid w:val="00E950AA"/>
    <w:rsid w:val="00E9558A"/>
    <w:rsid w:val="00E957A4"/>
    <w:rsid w:val="00E95928"/>
    <w:rsid w:val="00E959FC"/>
    <w:rsid w:val="00E95A86"/>
    <w:rsid w:val="00E95BA4"/>
    <w:rsid w:val="00E960F4"/>
    <w:rsid w:val="00E965BE"/>
    <w:rsid w:val="00E9676C"/>
    <w:rsid w:val="00E96DE3"/>
    <w:rsid w:val="00E97288"/>
    <w:rsid w:val="00E97504"/>
    <w:rsid w:val="00E97720"/>
    <w:rsid w:val="00E97835"/>
    <w:rsid w:val="00E978A3"/>
    <w:rsid w:val="00E97DC9"/>
    <w:rsid w:val="00E97E57"/>
    <w:rsid w:val="00EA014E"/>
    <w:rsid w:val="00EA137B"/>
    <w:rsid w:val="00EA141B"/>
    <w:rsid w:val="00EA1728"/>
    <w:rsid w:val="00EA1E2B"/>
    <w:rsid w:val="00EA1E38"/>
    <w:rsid w:val="00EA1ECE"/>
    <w:rsid w:val="00EA20A5"/>
    <w:rsid w:val="00EA246C"/>
    <w:rsid w:val="00EA2A3B"/>
    <w:rsid w:val="00EA2BB2"/>
    <w:rsid w:val="00EA2BBD"/>
    <w:rsid w:val="00EA2E8F"/>
    <w:rsid w:val="00EA3672"/>
    <w:rsid w:val="00EA3914"/>
    <w:rsid w:val="00EA39C2"/>
    <w:rsid w:val="00EA3F5C"/>
    <w:rsid w:val="00EA40A3"/>
    <w:rsid w:val="00EA4B36"/>
    <w:rsid w:val="00EA4DCD"/>
    <w:rsid w:val="00EA505C"/>
    <w:rsid w:val="00EA525E"/>
    <w:rsid w:val="00EA538F"/>
    <w:rsid w:val="00EA56C7"/>
    <w:rsid w:val="00EA5701"/>
    <w:rsid w:val="00EA5731"/>
    <w:rsid w:val="00EA5738"/>
    <w:rsid w:val="00EA584D"/>
    <w:rsid w:val="00EA58FD"/>
    <w:rsid w:val="00EA5942"/>
    <w:rsid w:val="00EA5B07"/>
    <w:rsid w:val="00EA5B11"/>
    <w:rsid w:val="00EA5D6E"/>
    <w:rsid w:val="00EA5DD6"/>
    <w:rsid w:val="00EA5E96"/>
    <w:rsid w:val="00EA627D"/>
    <w:rsid w:val="00EA677F"/>
    <w:rsid w:val="00EA6945"/>
    <w:rsid w:val="00EA6B6B"/>
    <w:rsid w:val="00EA6BAB"/>
    <w:rsid w:val="00EA6C41"/>
    <w:rsid w:val="00EA6DB6"/>
    <w:rsid w:val="00EA70F3"/>
    <w:rsid w:val="00EA716E"/>
    <w:rsid w:val="00EA719D"/>
    <w:rsid w:val="00EA727F"/>
    <w:rsid w:val="00EA7900"/>
    <w:rsid w:val="00EA799D"/>
    <w:rsid w:val="00EA7D61"/>
    <w:rsid w:val="00EB04DD"/>
    <w:rsid w:val="00EB05F3"/>
    <w:rsid w:val="00EB06A0"/>
    <w:rsid w:val="00EB09B7"/>
    <w:rsid w:val="00EB0DBB"/>
    <w:rsid w:val="00EB1A65"/>
    <w:rsid w:val="00EB1B95"/>
    <w:rsid w:val="00EB1EBB"/>
    <w:rsid w:val="00EB21B4"/>
    <w:rsid w:val="00EB2222"/>
    <w:rsid w:val="00EB22D4"/>
    <w:rsid w:val="00EB2308"/>
    <w:rsid w:val="00EB279C"/>
    <w:rsid w:val="00EB279E"/>
    <w:rsid w:val="00EB2C42"/>
    <w:rsid w:val="00EB3200"/>
    <w:rsid w:val="00EB33F1"/>
    <w:rsid w:val="00EB36FF"/>
    <w:rsid w:val="00EB3F9F"/>
    <w:rsid w:val="00EB4172"/>
    <w:rsid w:val="00EB439C"/>
    <w:rsid w:val="00EB467A"/>
    <w:rsid w:val="00EB46FA"/>
    <w:rsid w:val="00EB4A63"/>
    <w:rsid w:val="00EB4B32"/>
    <w:rsid w:val="00EB4F21"/>
    <w:rsid w:val="00EB4FD4"/>
    <w:rsid w:val="00EB51FF"/>
    <w:rsid w:val="00EB5247"/>
    <w:rsid w:val="00EB52FD"/>
    <w:rsid w:val="00EB5676"/>
    <w:rsid w:val="00EB5A5C"/>
    <w:rsid w:val="00EB5ECB"/>
    <w:rsid w:val="00EB631F"/>
    <w:rsid w:val="00EB63B0"/>
    <w:rsid w:val="00EB63CF"/>
    <w:rsid w:val="00EB6648"/>
    <w:rsid w:val="00EB6715"/>
    <w:rsid w:val="00EB6B74"/>
    <w:rsid w:val="00EB7330"/>
    <w:rsid w:val="00EB7345"/>
    <w:rsid w:val="00EB73F0"/>
    <w:rsid w:val="00EB7B38"/>
    <w:rsid w:val="00EB7F85"/>
    <w:rsid w:val="00EC02D5"/>
    <w:rsid w:val="00EC097A"/>
    <w:rsid w:val="00EC0C94"/>
    <w:rsid w:val="00EC0CF5"/>
    <w:rsid w:val="00EC0FEA"/>
    <w:rsid w:val="00EC113C"/>
    <w:rsid w:val="00EC16CC"/>
    <w:rsid w:val="00EC1ABD"/>
    <w:rsid w:val="00EC1AEA"/>
    <w:rsid w:val="00EC21BC"/>
    <w:rsid w:val="00EC25B9"/>
    <w:rsid w:val="00EC2D4A"/>
    <w:rsid w:val="00EC354B"/>
    <w:rsid w:val="00EC3817"/>
    <w:rsid w:val="00EC3F17"/>
    <w:rsid w:val="00EC42FF"/>
    <w:rsid w:val="00EC4CF8"/>
    <w:rsid w:val="00EC4E8D"/>
    <w:rsid w:val="00EC50BD"/>
    <w:rsid w:val="00EC557F"/>
    <w:rsid w:val="00EC5D94"/>
    <w:rsid w:val="00EC6077"/>
    <w:rsid w:val="00EC672E"/>
    <w:rsid w:val="00EC6916"/>
    <w:rsid w:val="00EC6B12"/>
    <w:rsid w:val="00EC6C8B"/>
    <w:rsid w:val="00EC709F"/>
    <w:rsid w:val="00EC7518"/>
    <w:rsid w:val="00EC7932"/>
    <w:rsid w:val="00EC7939"/>
    <w:rsid w:val="00EC7A18"/>
    <w:rsid w:val="00EC7B7D"/>
    <w:rsid w:val="00ED003C"/>
    <w:rsid w:val="00ED0205"/>
    <w:rsid w:val="00ED0B26"/>
    <w:rsid w:val="00ED0F19"/>
    <w:rsid w:val="00ED13EF"/>
    <w:rsid w:val="00ED14CC"/>
    <w:rsid w:val="00ED190A"/>
    <w:rsid w:val="00ED1916"/>
    <w:rsid w:val="00ED1E1A"/>
    <w:rsid w:val="00ED1E26"/>
    <w:rsid w:val="00ED2061"/>
    <w:rsid w:val="00ED2131"/>
    <w:rsid w:val="00ED22AC"/>
    <w:rsid w:val="00ED23D6"/>
    <w:rsid w:val="00ED26EE"/>
    <w:rsid w:val="00ED2A5F"/>
    <w:rsid w:val="00ED2C76"/>
    <w:rsid w:val="00ED2D2A"/>
    <w:rsid w:val="00ED3129"/>
    <w:rsid w:val="00ED33BC"/>
    <w:rsid w:val="00ED33C9"/>
    <w:rsid w:val="00ED371A"/>
    <w:rsid w:val="00ED3C01"/>
    <w:rsid w:val="00ED3F13"/>
    <w:rsid w:val="00ED43AD"/>
    <w:rsid w:val="00ED4418"/>
    <w:rsid w:val="00ED4A25"/>
    <w:rsid w:val="00ED5365"/>
    <w:rsid w:val="00ED57AE"/>
    <w:rsid w:val="00ED587A"/>
    <w:rsid w:val="00ED592F"/>
    <w:rsid w:val="00ED5D16"/>
    <w:rsid w:val="00ED6014"/>
    <w:rsid w:val="00ED601E"/>
    <w:rsid w:val="00ED6139"/>
    <w:rsid w:val="00ED61EE"/>
    <w:rsid w:val="00ED6421"/>
    <w:rsid w:val="00ED6579"/>
    <w:rsid w:val="00ED691F"/>
    <w:rsid w:val="00ED70EC"/>
    <w:rsid w:val="00ED71E5"/>
    <w:rsid w:val="00ED775E"/>
    <w:rsid w:val="00ED77F1"/>
    <w:rsid w:val="00EE0244"/>
    <w:rsid w:val="00EE038B"/>
    <w:rsid w:val="00EE0663"/>
    <w:rsid w:val="00EE089D"/>
    <w:rsid w:val="00EE0F3F"/>
    <w:rsid w:val="00EE13AA"/>
    <w:rsid w:val="00EE148D"/>
    <w:rsid w:val="00EE17DB"/>
    <w:rsid w:val="00EE2044"/>
    <w:rsid w:val="00EE20AB"/>
    <w:rsid w:val="00EE217D"/>
    <w:rsid w:val="00EE23DD"/>
    <w:rsid w:val="00EE24D6"/>
    <w:rsid w:val="00EE2AB0"/>
    <w:rsid w:val="00EE2D2C"/>
    <w:rsid w:val="00EE2DD8"/>
    <w:rsid w:val="00EE2EE8"/>
    <w:rsid w:val="00EE2F04"/>
    <w:rsid w:val="00EE30E6"/>
    <w:rsid w:val="00EE31B8"/>
    <w:rsid w:val="00EE3449"/>
    <w:rsid w:val="00EE34FD"/>
    <w:rsid w:val="00EE3529"/>
    <w:rsid w:val="00EE3596"/>
    <w:rsid w:val="00EE3B59"/>
    <w:rsid w:val="00EE3CD6"/>
    <w:rsid w:val="00EE3DD5"/>
    <w:rsid w:val="00EE46A6"/>
    <w:rsid w:val="00EE497E"/>
    <w:rsid w:val="00EE4A0B"/>
    <w:rsid w:val="00EE4DCB"/>
    <w:rsid w:val="00EE4DCF"/>
    <w:rsid w:val="00EE4E4C"/>
    <w:rsid w:val="00EE4E5F"/>
    <w:rsid w:val="00EE4EAB"/>
    <w:rsid w:val="00EE5047"/>
    <w:rsid w:val="00EE54E3"/>
    <w:rsid w:val="00EE56C8"/>
    <w:rsid w:val="00EE5A2E"/>
    <w:rsid w:val="00EE5F7B"/>
    <w:rsid w:val="00EE607F"/>
    <w:rsid w:val="00EE6163"/>
    <w:rsid w:val="00EE6194"/>
    <w:rsid w:val="00EE630B"/>
    <w:rsid w:val="00EE6603"/>
    <w:rsid w:val="00EE6606"/>
    <w:rsid w:val="00EE6A39"/>
    <w:rsid w:val="00EE6BBE"/>
    <w:rsid w:val="00EE6E37"/>
    <w:rsid w:val="00EE76F3"/>
    <w:rsid w:val="00EE78BA"/>
    <w:rsid w:val="00EE7B6F"/>
    <w:rsid w:val="00EE7DA3"/>
    <w:rsid w:val="00EE7DBA"/>
    <w:rsid w:val="00EE7F2E"/>
    <w:rsid w:val="00EF0002"/>
    <w:rsid w:val="00EF0179"/>
    <w:rsid w:val="00EF0850"/>
    <w:rsid w:val="00EF0ADF"/>
    <w:rsid w:val="00EF0B87"/>
    <w:rsid w:val="00EF0D45"/>
    <w:rsid w:val="00EF0EBD"/>
    <w:rsid w:val="00EF0F88"/>
    <w:rsid w:val="00EF10D7"/>
    <w:rsid w:val="00EF18E0"/>
    <w:rsid w:val="00EF2102"/>
    <w:rsid w:val="00EF26D0"/>
    <w:rsid w:val="00EF2C27"/>
    <w:rsid w:val="00EF2CB8"/>
    <w:rsid w:val="00EF3390"/>
    <w:rsid w:val="00EF36CD"/>
    <w:rsid w:val="00EF3875"/>
    <w:rsid w:val="00EF3931"/>
    <w:rsid w:val="00EF3ADD"/>
    <w:rsid w:val="00EF3CA6"/>
    <w:rsid w:val="00EF3DC9"/>
    <w:rsid w:val="00EF3EA3"/>
    <w:rsid w:val="00EF3F0C"/>
    <w:rsid w:val="00EF43D0"/>
    <w:rsid w:val="00EF4524"/>
    <w:rsid w:val="00EF4671"/>
    <w:rsid w:val="00EF4C61"/>
    <w:rsid w:val="00EF4F9C"/>
    <w:rsid w:val="00EF539E"/>
    <w:rsid w:val="00EF5461"/>
    <w:rsid w:val="00EF5752"/>
    <w:rsid w:val="00EF590F"/>
    <w:rsid w:val="00EF5948"/>
    <w:rsid w:val="00EF596C"/>
    <w:rsid w:val="00EF5A00"/>
    <w:rsid w:val="00EF5E79"/>
    <w:rsid w:val="00EF5EDB"/>
    <w:rsid w:val="00EF5F0F"/>
    <w:rsid w:val="00EF6033"/>
    <w:rsid w:val="00EF6122"/>
    <w:rsid w:val="00EF6385"/>
    <w:rsid w:val="00EF6998"/>
    <w:rsid w:val="00EF6A9A"/>
    <w:rsid w:val="00EF6AE9"/>
    <w:rsid w:val="00EF6FBB"/>
    <w:rsid w:val="00EF755A"/>
    <w:rsid w:val="00EF75E7"/>
    <w:rsid w:val="00EF7A30"/>
    <w:rsid w:val="00EF7CF5"/>
    <w:rsid w:val="00F0072A"/>
    <w:rsid w:val="00F0074F"/>
    <w:rsid w:val="00F00CA6"/>
    <w:rsid w:val="00F00CC5"/>
    <w:rsid w:val="00F00FBD"/>
    <w:rsid w:val="00F010DD"/>
    <w:rsid w:val="00F010EE"/>
    <w:rsid w:val="00F01155"/>
    <w:rsid w:val="00F01376"/>
    <w:rsid w:val="00F016EF"/>
    <w:rsid w:val="00F018CD"/>
    <w:rsid w:val="00F020FD"/>
    <w:rsid w:val="00F0223B"/>
    <w:rsid w:val="00F0272E"/>
    <w:rsid w:val="00F02949"/>
    <w:rsid w:val="00F029A2"/>
    <w:rsid w:val="00F0333D"/>
    <w:rsid w:val="00F0374D"/>
    <w:rsid w:val="00F038C3"/>
    <w:rsid w:val="00F03B9E"/>
    <w:rsid w:val="00F03D91"/>
    <w:rsid w:val="00F03D9C"/>
    <w:rsid w:val="00F04016"/>
    <w:rsid w:val="00F04338"/>
    <w:rsid w:val="00F043F0"/>
    <w:rsid w:val="00F0484A"/>
    <w:rsid w:val="00F04A40"/>
    <w:rsid w:val="00F05005"/>
    <w:rsid w:val="00F059D0"/>
    <w:rsid w:val="00F05C14"/>
    <w:rsid w:val="00F05E71"/>
    <w:rsid w:val="00F06237"/>
    <w:rsid w:val="00F06267"/>
    <w:rsid w:val="00F0626D"/>
    <w:rsid w:val="00F064FD"/>
    <w:rsid w:val="00F0683C"/>
    <w:rsid w:val="00F0688B"/>
    <w:rsid w:val="00F068CF"/>
    <w:rsid w:val="00F068E9"/>
    <w:rsid w:val="00F06CA4"/>
    <w:rsid w:val="00F06D99"/>
    <w:rsid w:val="00F06FAF"/>
    <w:rsid w:val="00F07189"/>
    <w:rsid w:val="00F07254"/>
    <w:rsid w:val="00F072FE"/>
    <w:rsid w:val="00F07418"/>
    <w:rsid w:val="00F0766B"/>
    <w:rsid w:val="00F07C20"/>
    <w:rsid w:val="00F103F1"/>
    <w:rsid w:val="00F104A4"/>
    <w:rsid w:val="00F1068E"/>
    <w:rsid w:val="00F10ACB"/>
    <w:rsid w:val="00F11028"/>
    <w:rsid w:val="00F111E2"/>
    <w:rsid w:val="00F11232"/>
    <w:rsid w:val="00F11343"/>
    <w:rsid w:val="00F113AD"/>
    <w:rsid w:val="00F113CC"/>
    <w:rsid w:val="00F114A0"/>
    <w:rsid w:val="00F116D1"/>
    <w:rsid w:val="00F11838"/>
    <w:rsid w:val="00F11BF6"/>
    <w:rsid w:val="00F11E50"/>
    <w:rsid w:val="00F1223C"/>
    <w:rsid w:val="00F122AF"/>
    <w:rsid w:val="00F1248B"/>
    <w:rsid w:val="00F12A01"/>
    <w:rsid w:val="00F12E13"/>
    <w:rsid w:val="00F12FA7"/>
    <w:rsid w:val="00F13331"/>
    <w:rsid w:val="00F13D8C"/>
    <w:rsid w:val="00F13E21"/>
    <w:rsid w:val="00F13F33"/>
    <w:rsid w:val="00F14148"/>
    <w:rsid w:val="00F14163"/>
    <w:rsid w:val="00F141A5"/>
    <w:rsid w:val="00F141AB"/>
    <w:rsid w:val="00F14414"/>
    <w:rsid w:val="00F144FB"/>
    <w:rsid w:val="00F14537"/>
    <w:rsid w:val="00F1499A"/>
    <w:rsid w:val="00F14BF5"/>
    <w:rsid w:val="00F14DF8"/>
    <w:rsid w:val="00F15129"/>
    <w:rsid w:val="00F1537A"/>
    <w:rsid w:val="00F15571"/>
    <w:rsid w:val="00F156CB"/>
    <w:rsid w:val="00F15C15"/>
    <w:rsid w:val="00F15EB1"/>
    <w:rsid w:val="00F15F1D"/>
    <w:rsid w:val="00F16428"/>
    <w:rsid w:val="00F165DF"/>
    <w:rsid w:val="00F16932"/>
    <w:rsid w:val="00F1693A"/>
    <w:rsid w:val="00F16E4A"/>
    <w:rsid w:val="00F176FA"/>
    <w:rsid w:val="00F1781D"/>
    <w:rsid w:val="00F17B11"/>
    <w:rsid w:val="00F17BC3"/>
    <w:rsid w:val="00F200E5"/>
    <w:rsid w:val="00F2013E"/>
    <w:rsid w:val="00F201F1"/>
    <w:rsid w:val="00F20255"/>
    <w:rsid w:val="00F205C7"/>
    <w:rsid w:val="00F20AF8"/>
    <w:rsid w:val="00F20C27"/>
    <w:rsid w:val="00F2120C"/>
    <w:rsid w:val="00F213DC"/>
    <w:rsid w:val="00F218DE"/>
    <w:rsid w:val="00F219A4"/>
    <w:rsid w:val="00F21B49"/>
    <w:rsid w:val="00F21BA6"/>
    <w:rsid w:val="00F22495"/>
    <w:rsid w:val="00F22518"/>
    <w:rsid w:val="00F2283A"/>
    <w:rsid w:val="00F228A4"/>
    <w:rsid w:val="00F22956"/>
    <w:rsid w:val="00F23737"/>
    <w:rsid w:val="00F23C42"/>
    <w:rsid w:val="00F23E94"/>
    <w:rsid w:val="00F23F3B"/>
    <w:rsid w:val="00F244AE"/>
    <w:rsid w:val="00F2493D"/>
    <w:rsid w:val="00F24DF5"/>
    <w:rsid w:val="00F2516A"/>
    <w:rsid w:val="00F25356"/>
    <w:rsid w:val="00F253C6"/>
    <w:rsid w:val="00F254CC"/>
    <w:rsid w:val="00F2551D"/>
    <w:rsid w:val="00F25DCB"/>
    <w:rsid w:val="00F2612C"/>
    <w:rsid w:val="00F2632A"/>
    <w:rsid w:val="00F264A9"/>
    <w:rsid w:val="00F26CC2"/>
    <w:rsid w:val="00F26F84"/>
    <w:rsid w:val="00F278A5"/>
    <w:rsid w:val="00F278F5"/>
    <w:rsid w:val="00F279C3"/>
    <w:rsid w:val="00F27C0B"/>
    <w:rsid w:val="00F27E90"/>
    <w:rsid w:val="00F30055"/>
    <w:rsid w:val="00F3010E"/>
    <w:rsid w:val="00F30978"/>
    <w:rsid w:val="00F309C4"/>
    <w:rsid w:val="00F30F7C"/>
    <w:rsid w:val="00F31244"/>
    <w:rsid w:val="00F313CF"/>
    <w:rsid w:val="00F31ADC"/>
    <w:rsid w:val="00F31BCC"/>
    <w:rsid w:val="00F31ED2"/>
    <w:rsid w:val="00F3209C"/>
    <w:rsid w:val="00F3217C"/>
    <w:rsid w:val="00F32339"/>
    <w:rsid w:val="00F32455"/>
    <w:rsid w:val="00F32DC0"/>
    <w:rsid w:val="00F33130"/>
    <w:rsid w:val="00F332B7"/>
    <w:rsid w:val="00F3339B"/>
    <w:rsid w:val="00F3339E"/>
    <w:rsid w:val="00F337C9"/>
    <w:rsid w:val="00F33F99"/>
    <w:rsid w:val="00F33FE5"/>
    <w:rsid w:val="00F341C9"/>
    <w:rsid w:val="00F341F6"/>
    <w:rsid w:val="00F34217"/>
    <w:rsid w:val="00F3429F"/>
    <w:rsid w:val="00F34716"/>
    <w:rsid w:val="00F34AC9"/>
    <w:rsid w:val="00F34C0C"/>
    <w:rsid w:val="00F34CC4"/>
    <w:rsid w:val="00F34DC8"/>
    <w:rsid w:val="00F34F64"/>
    <w:rsid w:val="00F34FA4"/>
    <w:rsid w:val="00F35332"/>
    <w:rsid w:val="00F353BD"/>
    <w:rsid w:val="00F356E5"/>
    <w:rsid w:val="00F35B4D"/>
    <w:rsid w:val="00F35BAE"/>
    <w:rsid w:val="00F361D7"/>
    <w:rsid w:val="00F36207"/>
    <w:rsid w:val="00F366EC"/>
    <w:rsid w:val="00F36D3D"/>
    <w:rsid w:val="00F36E05"/>
    <w:rsid w:val="00F3714E"/>
    <w:rsid w:val="00F37215"/>
    <w:rsid w:val="00F3721D"/>
    <w:rsid w:val="00F377D6"/>
    <w:rsid w:val="00F37F6C"/>
    <w:rsid w:val="00F400BF"/>
    <w:rsid w:val="00F401FB"/>
    <w:rsid w:val="00F40362"/>
    <w:rsid w:val="00F40497"/>
    <w:rsid w:val="00F404DC"/>
    <w:rsid w:val="00F407DD"/>
    <w:rsid w:val="00F40808"/>
    <w:rsid w:val="00F40871"/>
    <w:rsid w:val="00F40C84"/>
    <w:rsid w:val="00F40FD9"/>
    <w:rsid w:val="00F4143F"/>
    <w:rsid w:val="00F41545"/>
    <w:rsid w:val="00F4165D"/>
    <w:rsid w:val="00F41683"/>
    <w:rsid w:val="00F41873"/>
    <w:rsid w:val="00F41BC1"/>
    <w:rsid w:val="00F41BCE"/>
    <w:rsid w:val="00F42146"/>
    <w:rsid w:val="00F42A6C"/>
    <w:rsid w:val="00F42B62"/>
    <w:rsid w:val="00F42EEB"/>
    <w:rsid w:val="00F4323C"/>
    <w:rsid w:val="00F438AA"/>
    <w:rsid w:val="00F43923"/>
    <w:rsid w:val="00F43CDF"/>
    <w:rsid w:val="00F43E36"/>
    <w:rsid w:val="00F44400"/>
    <w:rsid w:val="00F44DFB"/>
    <w:rsid w:val="00F45229"/>
    <w:rsid w:val="00F4548C"/>
    <w:rsid w:val="00F45587"/>
    <w:rsid w:val="00F455A4"/>
    <w:rsid w:val="00F45611"/>
    <w:rsid w:val="00F45B16"/>
    <w:rsid w:val="00F45BB3"/>
    <w:rsid w:val="00F45CDC"/>
    <w:rsid w:val="00F45FA6"/>
    <w:rsid w:val="00F463EC"/>
    <w:rsid w:val="00F46446"/>
    <w:rsid w:val="00F46560"/>
    <w:rsid w:val="00F4659B"/>
    <w:rsid w:val="00F46E6A"/>
    <w:rsid w:val="00F473C0"/>
    <w:rsid w:val="00F475FA"/>
    <w:rsid w:val="00F478C1"/>
    <w:rsid w:val="00F47BF7"/>
    <w:rsid w:val="00F47DB4"/>
    <w:rsid w:val="00F50113"/>
    <w:rsid w:val="00F5011A"/>
    <w:rsid w:val="00F5012E"/>
    <w:rsid w:val="00F50198"/>
    <w:rsid w:val="00F50248"/>
    <w:rsid w:val="00F50311"/>
    <w:rsid w:val="00F50658"/>
    <w:rsid w:val="00F50D5D"/>
    <w:rsid w:val="00F510E6"/>
    <w:rsid w:val="00F51130"/>
    <w:rsid w:val="00F511E7"/>
    <w:rsid w:val="00F51264"/>
    <w:rsid w:val="00F5146C"/>
    <w:rsid w:val="00F518FC"/>
    <w:rsid w:val="00F5212B"/>
    <w:rsid w:val="00F5297B"/>
    <w:rsid w:val="00F52DB7"/>
    <w:rsid w:val="00F5330B"/>
    <w:rsid w:val="00F5350F"/>
    <w:rsid w:val="00F539A0"/>
    <w:rsid w:val="00F53BA5"/>
    <w:rsid w:val="00F53FAA"/>
    <w:rsid w:val="00F5424F"/>
    <w:rsid w:val="00F5434D"/>
    <w:rsid w:val="00F5463C"/>
    <w:rsid w:val="00F547C3"/>
    <w:rsid w:val="00F549DD"/>
    <w:rsid w:val="00F54AC0"/>
    <w:rsid w:val="00F54C34"/>
    <w:rsid w:val="00F54C7A"/>
    <w:rsid w:val="00F54CCB"/>
    <w:rsid w:val="00F54E1B"/>
    <w:rsid w:val="00F54E6E"/>
    <w:rsid w:val="00F554BD"/>
    <w:rsid w:val="00F55927"/>
    <w:rsid w:val="00F55AC0"/>
    <w:rsid w:val="00F55B11"/>
    <w:rsid w:val="00F55E60"/>
    <w:rsid w:val="00F55ED3"/>
    <w:rsid w:val="00F55F33"/>
    <w:rsid w:val="00F55FFD"/>
    <w:rsid w:val="00F560EC"/>
    <w:rsid w:val="00F5689D"/>
    <w:rsid w:val="00F56B31"/>
    <w:rsid w:val="00F56C19"/>
    <w:rsid w:val="00F56D47"/>
    <w:rsid w:val="00F56F6C"/>
    <w:rsid w:val="00F56F75"/>
    <w:rsid w:val="00F5728B"/>
    <w:rsid w:val="00F574F1"/>
    <w:rsid w:val="00F57682"/>
    <w:rsid w:val="00F576A2"/>
    <w:rsid w:val="00F57831"/>
    <w:rsid w:val="00F57854"/>
    <w:rsid w:val="00F579FE"/>
    <w:rsid w:val="00F57C7E"/>
    <w:rsid w:val="00F57C8B"/>
    <w:rsid w:val="00F60194"/>
    <w:rsid w:val="00F60415"/>
    <w:rsid w:val="00F6048B"/>
    <w:rsid w:val="00F60CAD"/>
    <w:rsid w:val="00F618D2"/>
    <w:rsid w:val="00F61AF3"/>
    <w:rsid w:val="00F61C3C"/>
    <w:rsid w:val="00F61C86"/>
    <w:rsid w:val="00F61DE9"/>
    <w:rsid w:val="00F6208D"/>
    <w:rsid w:val="00F620FE"/>
    <w:rsid w:val="00F627DC"/>
    <w:rsid w:val="00F62B08"/>
    <w:rsid w:val="00F62CA1"/>
    <w:rsid w:val="00F63214"/>
    <w:rsid w:val="00F632BE"/>
    <w:rsid w:val="00F633EF"/>
    <w:rsid w:val="00F634F0"/>
    <w:rsid w:val="00F636A7"/>
    <w:rsid w:val="00F637FA"/>
    <w:rsid w:val="00F63D8D"/>
    <w:rsid w:val="00F642C0"/>
    <w:rsid w:val="00F643F5"/>
    <w:rsid w:val="00F64626"/>
    <w:rsid w:val="00F64A81"/>
    <w:rsid w:val="00F64BA9"/>
    <w:rsid w:val="00F64ED2"/>
    <w:rsid w:val="00F6515B"/>
    <w:rsid w:val="00F654BA"/>
    <w:rsid w:val="00F656C6"/>
    <w:rsid w:val="00F65989"/>
    <w:rsid w:val="00F65B37"/>
    <w:rsid w:val="00F65B61"/>
    <w:rsid w:val="00F66048"/>
    <w:rsid w:val="00F66185"/>
    <w:rsid w:val="00F663DE"/>
    <w:rsid w:val="00F663E8"/>
    <w:rsid w:val="00F669F4"/>
    <w:rsid w:val="00F6711C"/>
    <w:rsid w:val="00F6716D"/>
    <w:rsid w:val="00F674DC"/>
    <w:rsid w:val="00F678ED"/>
    <w:rsid w:val="00F67A2A"/>
    <w:rsid w:val="00F67ACA"/>
    <w:rsid w:val="00F67FC6"/>
    <w:rsid w:val="00F703B9"/>
    <w:rsid w:val="00F703E0"/>
    <w:rsid w:val="00F70730"/>
    <w:rsid w:val="00F707AE"/>
    <w:rsid w:val="00F707C9"/>
    <w:rsid w:val="00F7081F"/>
    <w:rsid w:val="00F70870"/>
    <w:rsid w:val="00F70F7C"/>
    <w:rsid w:val="00F717E0"/>
    <w:rsid w:val="00F71A46"/>
    <w:rsid w:val="00F71E82"/>
    <w:rsid w:val="00F71F24"/>
    <w:rsid w:val="00F7222D"/>
    <w:rsid w:val="00F7245E"/>
    <w:rsid w:val="00F726FB"/>
    <w:rsid w:val="00F72AAD"/>
    <w:rsid w:val="00F72B8E"/>
    <w:rsid w:val="00F72FBB"/>
    <w:rsid w:val="00F72FF3"/>
    <w:rsid w:val="00F73723"/>
    <w:rsid w:val="00F738A7"/>
    <w:rsid w:val="00F73CD7"/>
    <w:rsid w:val="00F73EEE"/>
    <w:rsid w:val="00F740B0"/>
    <w:rsid w:val="00F740CC"/>
    <w:rsid w:val="00F741C2"/>
    <w:rsid w:val="00F74279"/>
    <w:rsid w:val="00F742D2"/>
    <w:rsid w:val="00F74F56"/>
    <w:rsid w:val="00F75737"/>
    <w:rsid w:val="00F7591F"/>
    <w:rsid w:val="00F75ABC"/>
    <w:rsid w:val="00F75AD3"/>
    <w:rsid w:val="00F75C94"/>
    <w:rsid w:val="00F75D33"/>
    <w:rsid w:val="00F75E05"/>
    <w:rsid w:val="00F7641E"/>
    <w:rsid w:val="00F7663B"/>
    <w:rsid w:val="00F768EB"/>
    <w:rsid w:val="00F76BCF"/>
    <w:rsid w:val="00F76C57"/>
    <w:rsid w:val="00F7793F"/>
    <w:rsid w:val="00F77C17"/>
    <w:rsid w:val="00F77F04"/>
    <w:rsid w:val="00F80019"/>
    <w:rsid w:val="00F801E7"/>
    <w:rsid w:val="00F804B3"/>
    <w:rsid w:val="00F807FD"/>
    <w:rsid w:val="00F80932"/>
    <w:rsid w:val="00F80D39"/>
    <w:rsid w:val="00F80DCF"/>
    <w:rsid w:val="00F80FB5"/>
    <w:rsid w:val="00F810F0"/>
    <w:rsid w:val="00F811BD"/>
    <w:rsid w:val="00F8123A"/>
    <w:rsid w:val="00F81513"/>
    <w:rsid w:val="00F81EC6"/>
    <w:rsid w:val="00F82113"/>
    <w:rsid w:val="00F82594"/>
    <w:rsid w:val="00F827C5"/>
    <w:rsid w:val="00F82C0D"/>
    <w:rsid w:val="00F82C3E"/>
    <w:rsid w:val="00F82D53"/>
    <w:rsid w:val="00F82EB8"/>
    <w:rsid w:val="00F83295"/>
    <w:rsid w:val="00F83322"/>
    <w:rsid w:val="00F8363E"/>
    <w:rsid w:val="00F83C49"/>
    <w:rsid w:val="00F83C69"/>
    <w:rsid w:val="00F84184"/>
    <w:rsid w:val="00F84262"/>
    <w:rsid w:val="00F84287"/>
    <w:rsid w:val="00F84338"/>
    <w:rsid w:val="00F848E6"/>
    <w:rsid w:val="00F84F0C"/>
    <w:rsid w:val="00F8523B"/>
    <w:rsid w:val="00F85266"/>
    <w:rsid w:val="00F8562B"/>
    <w:rsid w:val="00F85A34"/>
    <w:rsid w:val="00F85B44"/>
    <w:rsid w:val="00F86351"/>
    <w:rsid w:val="00F86458"/>
    <w:rsid w:val="00F86D0A"/>
    <w:rsid w:val="00F86D3D"/>
    <w:rsid w:val="00F86E6B"/>
    <w:rsid w:val="00F86F77"/>
    <w:rsid w:val="00F8736B"/>
    <w:rsid w:val="00F87753"/>
    <w:rsid w:val="00F87952"/>
    <w:rsid w:val="00F8799D"/>
    <w:rsid w:val="00F9017C"/>
    <w:rsid w:val="00F90237"/>
    <w:rsid w:val="00F90383"/>
    <w:rsid w:val="00F90A28"/>
    <w:rsid w:val="00F90D1C"/>
    <w:rsid w:val="00F90FB3"/>
    <w:rsid w:val="00F912CB"/>
    <w:rsid w:val="00F91416"/>
    <w:rsid w:val="00F914A8"/>
    <w:rsid w:val="00F91B19"/>
    <w:rsid w:val="00F91EE6"/>
    <w:rsid w:val="00F9221A"/>
    <w:rsid w:val="00F92379"/>
    <w:rsid w:val="00F92437"/>
    <w:rsid w:val="00F92756"/>
    <w:rsid w:val="00F927C1"/>
    <w:rsid w:val="00F92857"/>
    <w:rsid w:val="00F92AD2"/>
    <w:rsid w:val="00F92F2D"/>
    <w:rsid w:val="00F9308F"/>
    <w:rsid w:val="00F9310F"/>
    <w:rsid w:val="00F93323"/>
    <w:rsid w:val="00F935DC"/>
    <w:rsid w:val="00F93848"/>
    <w:rsid w:val="00F93882"/>
    <w:rsid w:val="00F938B2"/>
    <w:rsid w:val="00F93C2F"/>
    <w:rsid w:val="00F93C89"/>
    <w:rsid w:val="00F94007"/>
    <w:rsid w:val="00F9439A"/>
    <w:rsid w:val="00F94D68"/>
    <w:rsid w:val="00F94F4F"/>
    <w:rsid w:val="00F94FF9"/>
    <w:rsid w:val="00F9507B"/>
    <w:rsid w:val="00F9524A"/>
    <w:rsid w:val="00F953AB"/>
    <w:rsid w:val="00F953F3"/>
    <w:rsid w:val="00F95992"/>
    <w:rsid w:val="00F95E83"/>
    <w:rsid w:val="00F96506"/>
    <w:rsid w:val="00F9656E"/>
    <w:rsid w:val="00F96D29"/>
    <w:rsid w:val="00F96EF8"/>
    <w:rsid w:val="00F97193"/>
    <w:rsid w:val="00F9730E"/>
    <w:rsid w:val="00F973F9"/>
    <w:rsid w:val="00F97521"/>
    <w:rsid w:val="00F97DE6"/>
    <w:rsid w:val="00FA01B2"/>
    <w:rsid w:val="00FA01D6"/>
    <w:rsid w:val="00FA0393"/>
    <w:rsid w:val="00FA0821"/>
    <w:rsid w:val="00FA08AE"/>
    <w:rsid w:val="00FA0CD5"/>
    <w:rsid w:val="00FA1092"/>
    <w:rsid w:val="00FA111E"/>
    <w:rsid w:val="00FA13D8"/>
    <w:rsid w:val="00FA15AD"/>
    <w:rsid w:val="00FA1626"/>
    <w:rsid w:val="00FA1929"/>
    <w:rsid w:val="00FA1932"/>
    <w:rsid w:val="00FA1B8A"/>
    <w:rsid w:val="00FA1D06"/>
    <w:rsid w:val="00FA2397"/>
    <w:rsid w:val="00FA23D1"/>
    <w:rsid w:val="00FA2576"/>
    <w:rsid w:val="00FA29DA"/>
    <w:rsid w:val="00FA2B5D"/>
    <w:rsid w:val="00FA2D68"/>
    <w:rsid w:val="00FA2FF5"/>
    <w:rsid w:val="00FA324B"/>
    <w:rsid w:val="00FA3381"/>
    <w:rsid w:val="00FA33AA"/>
    <w:rsid w:val="00FA34D1"/>
    <w:rsid w:val="00FA352B"/>
    <w:rsid w:val="00FA3FB0"/>
    <w:rsid w:val="00FA4070"/>
    <w:rsid w:val="00FA4132"/>
    <w:rsid w:val="00FA4163"/>
    <w:rsid w:val="00FA419A"/>
    <w:rsid w:val="00FA4488"/>
    <w:rsid w:val="00FA4543"/>
    <w:rsid w:val="00FA458E"/>
    <w:rsid w:val="00FA492A"/>
    <w:rsid w:val="00FA4C56"/>
    <w:rsid w:val="00FA4ECC"/>
    <w:rsid w:val="00FA4EF9"/>
    <w:rsid w:val="00FA4F21"/>
    <w:rsid w:val="00FA5036"/>
    <w:rsid w:val="00FA5263"/>
    <w:rsid w:val="00FA54F2"/>
    <w:rsid w:val="00FA562A"/>
    <w:rsid w:val="00FA569F"/>
    <w:rsid w:val="00FA5C36"/>
    <w:rsid w:val="00FA5E46"/>
    <w:rsid w:val="00FA603C"/>
    <w:rsid w:val="00FA6146"/>
    <w:rsid w:val="00FA6190"/>
    <w:rsid w:val="00FA649C"/>
    <w:rsid w:val="00FA696B"/>
    <w:rsid w:val="00FA6BA2"/>
    <w:rsid w:val="00FA6DA1"/>
    <w:rsid w:val="00FA6E29"/>
    <w:rsid w:val="00FA6FC2"/>
    <w:rsid w:val="00FA7114"/>
    <w:rsid w:val="00FA72BD"/>
    <w:rsid w:val="00FA7302"/>
    <w:rsid w:val="00FA7329"/>
    <w:rsid w:val="00FA7352"/>
    <w:rsid w:val="00FA75CC"/>
    <w:rsid w:val="00FA7741"/>
    <w:rsid w:val="00FA77B9"/>
    <w:rsid w:val="00FA79B7"/>
    <w:rsid w:val="00FA7B6C"/>
    <w:rsid w:val="00FA7B9F"/>
    <w:rsid w:val="00FB0015"/>
    <w:rsid w:val="00FB0499"/>
    <w:rsid w:val="00FB068D"/>
    <w:rsid w:val="00FB069E"/>
    <w:rsid w:val="00FB06CF"/>
    <w:rsid w:val="00FB0D99"/>
    <w:rsid w:val="00FB1471"/>
    <w:rsid w:val="00FB1A94"/>
    <w:rsid w:val="00FB2075"/>
    <w:rsid w:val="00FB2100"/>
    <w:rsid w:val="00FB2362"/>
    <w:rsid w:val="00FB2545"/>
    <w:rsid w:val="00FB28B8"/>
    <w:rsid w:val="00FB31C5"/>
    <w:rsid w:val="00FB32F6"/>
    <w:rsid w:val="00FB3388"/>
    <w:rsid w:val="00FB34AF"/>
    <w:rsid w:val="00FB3A4D"/>
    <w:rsid w:val="00FB3EA0"/>
    <w:rsid w:val="00FB4001"/>
    <w:rsid w:val="00FB4178"/>
    <w:rsid w:val="00FB41C3"/>
    <w:rsid w:val="00FB4207"/>
    <w:rsid w:val="00FB451A"/>
    <w:rsid w:val="00FB45C2"/>
    <w:rsid w:val="00FB472D"/>
    <w:rsid w:val="00FB476E"/>
    <w:rsid w:val="00FB53B2"/>
    <w:rsid w:val="00FB55DA"/>
    <w:rsid w:val="00FB5A50"/>
    <w:rsid w:val="00FB5E01"/>
    <w:rsid w:val="00FB5E08"/>
    <w:rsid w:val="00FB5F53"/>
    <w:rsid w:val="00FB6256"/>
    <w:rsid w:val="00FB62DE"/>
    <w:rsid w:val="00FB68A3"/>
    <w:rsid w:val="00FB6919"/>
    <w:rsid w:val="00FB6993"/>
    <w:rsid w:val="00FB6A4F"/>
    <w:rsid w:val="00FB6B43"/>
    <w:rsid w:val="00FB6CD8"/>
    <w:rsid w:val="00FB6EC1"/>
    <w:rsid w:val="00FB702D"/>
    <w:rsid w:val="00FB75E1"/>
    <w:rsid w:val="00FB794E"/>
    <w:rsid w:val="00FB7D6B"/>
    <w:rsid w:val="00FB7E44"/>
    <w:rsid w:val="00FC00E5"/>
    <w:rsid w:val="00FC0505"/>
    <w:rsid w:val="00FC0690"/>
    <w:rsid w:val="00FC07BF"/>
    <w:rsid w:val="00FC08B3"/>
    <w:rsid w:val="00FC0B9F"/>
    <w:rsid w:val="00FC0E8C"/>
    <w:rsid w:val="00FC0F3B"/>
    <w:rsid w:val="00FC10BF"/>
    <w:rsid w:val="00FC139A"/>
    <w:rsid w:val="00FC156B"/>
    <w:rsid w:val="00FC16AF"/>
    <w:rsid w:val="00FC1758"/>
    <w:rsid w:val="00FC1D7E"/>
    <w:rsid w:val="00FC2122"/>
    <w:rsid w:val="00FC23C0"/>
    <w:rsid w:val="00FC282F"/>
    <w:rsid w:val="00FC2A27"/>
    <w:rsid w:val="00FC2B33"/>
    <w:rsid w:val="00FC2C81"/>
    <w:rsid w:val="00FC2CB2"/>
    <w:rsid w:val="00FC3121"/>
    <w:rsid w:val="00FC3347"/>
    <w:rsid w:val="00FC35EA"/>
    <w:rsid w:val="00FC37A0"/>
    <w:rsid w:val="00FC3889"/>
    <w:rsid w:val="00FC3D4C"/>
    <w:rsid w:val="00FC3E4B"/>
    <w:rsid w:val="00FC414A"/>
    <w:rsid w:val="00FC4486"/>
    <w:rsid w:val="00FC450C"/>
    <w:rsid w:val="00FC47CC"/>
    <w:rsid w:val="00FC4A73"/>
    <w:rsid w:val="00FC4B47"/>
    <w:rsid w:val="00FC4C2F"/>
    <w:rsid w:val="00FC4CBF"/>
    <w:rsid w:val="00FC4E61"/>
    <w:rsid w:val="00FC4FE6"/>
    <w:rsid w:val="00FC5374"/>
    <w:rsid w:val="00FC5601"/>
    <w:rsid w:val="00FC5941"/>
    <w:rsid w:val="00FC5C23"/>
    <w:rsid w:val="00FC62BA"/>
    <w:rsid w:val="00FC66FF"/>
    <w:rsid w:val="00FC6737"/>
    <w:rsid w:val="00FC6E33"/>
    <w:rsid w:val="00FC6E90"/>
    <w:rsid w:val="00FC6F51"/>
    <w:rsid w:val="00FC780C"/>
    <w:rsid w:val="00FC7971"/>
    <w:rsid w:val="00FC7A9B"/>
    <w:rsid w:val="00FC7C95"/>
    <w:rsid w:val="00FC7CA9"/>
    <w:rsid w:val="00FD0005"/>
    <w:rsid w:val="00FD0149"/>
    <w:rsid w:val="00FD0324"/>
    <w:rsid w:val="00FD07B8"/>
    <w:rsid w:val="00FD08CC"/>
    <w:rsid w:val="00FD0A0A"/>
    <w:rsid w:val="00FD0D1E"/>
    <w:rsid w:val="00FD0D4B"/>
    <w:rsid w:val="00FD0DFD"/>
    <w:rsid w:val="00FD0E05"/>
    <w:rsid w:val="00FD0E0D"/>
    <w:rsid w:val="00FD0E17"/>
    <w:rsid w:val="00FD10CA"/>
    <w:rsid w:val="00FD11C9"/>
    <w:rsid w:val="00FD1281"/>
    <w:rsid w:val="00FD1BD7"/>
    <w:rsid w:val="00FD1F77"/>
    <w:rsid w:val="00FD23A0"/>
    <w:rsid w:val="00FD268F"/>
    <w:rsid w:val="00FD26BA"/>
    <w:rsid w:val="00FD2BBD"/>
    <w:rsid w:val="00FD2BD1"/>
    <w:rsid w:val="00FD2CAF"/>
    <w:rsid w:val="00FD2E35"/>
    <w:rsid w:val="00FD2FAD"/>
    <w:rsid w:val="00FD323C"/>
    <w:rsid w:val="00FD3682"/>
    <w:rsid w:val="00FD36E2"/>
    <w:rsid w:val="00FD36FF"/>
    <w:rsid w:val="00FD38A5"/>
    <w:rsid w:val="00FD3BB3"/>
    <w:rsid w:val="00FD3EEE"/>
    <w:rsid w:val="00FD3F60"/>
    <w:rsid w:val="00FD4097"/>
    <w:rsid w:val="00FD43B7"/>
    <w:rsid w:val="00FD44AB"/>
    <w:rsid w:val="00FD4D70"/>
    <w:rsid w:val="00FD4F40"/>
    <w:rsid w:val="00FD4FA6"/>
    <w:rsid w:val="00FD5137"/>
    <w:rsid w:val="00FD53A3"/>
    <w:rsid w:val="00FD54CB"/>
    <w:rsid w:val="00FD5720"/>
    <w:rsid w:val="00FD57BE"/>
    <w:rsid w:val="00FD592A"/>
    <w:rsid w:val="00FD5AB4"/>
    <w:rsid w:val="00FD5B1A"/>
    <w:rsid w:val="00FD5CD6"/>
    <w:rsid w:val="00FD5DF6"/>
    <w:rsid w:val="00FD634D"/>
    <w:rsid w:val="00FD63FA"/>
    <w:rsid w:val="00FD644B"/>
    <w:rsid w:val="00FD6506"/>
    <w:rsid w:val="00FD66FF"/>
    <w:rsid w:val="00FD6C13"/>
    <w:rsid w:val="00FD6C82"/>
    <w:rsid w:val="00FD6DA1"/>
    <w:rsid w:val="00FD6DDA"/>
    <w:rsid w:val="00FD6F92"/>
    <w:rsid w:val="00FD7404"/>
    <w:rsid w:val="00FD768C"/>
    <w:rsid w:val="00FD7C7D"/>
    <w:rsid w:val="00FD7F98"/>
    <w:rsid w:val="00FE0161"/>
    <w:rsid w:val="00FE03D9"/>
    <w:rsid w:val="00FE051B"/>
    <w:rsid w:val="00FE06C5"/>
    <w:rsid w:val="00FE06E4"/>
    <w:rsid w:val="00FE09A2"/>
    <w:rsid w:val="00FE0A49"/>
    <w:rsid w:val="00FE0D0D"/>
    <w:rsid w:val="00FE1067"/>
    <w:rsid w:val="00FE121A"/>
    <w:rsid w:val="00FE1510"/>
    <w:rsid w:val="00FE1627"/>
    <w:rsid w:val="00FE1CBA"/>
    <w:rsid w:val="00FE1FD3"/>
    <w:rsid w:val="00FE214E"/>
    <w:rsid w:val="00FE2327"/>
    <w:rsid w:val="00FE2650"/>
    <w:rsid w:val="00FE2686"/>
    <w:rsid w:val="00FE26A4"/>
    <w:rsid w:val="00FE2B98"/>
    <w:rsid w:val="00FE2BA5"/>
    <w:rsid w:val="00FE2BB8"/>
    <w:rsid w:val="00FE2EEE"/>
    <w:rsid w:val="00FE3030"/>
    <w:rsid w:val="00FE3042"/>
    <w:rsid w:val="00FE32A0"/>
    <w:rsid w:val="00FE38FF"/>
    <w:rsid w:val="00FE3AEB"/>
    <w:rsid w:val="00FE3B68"/>
    <w:rsid w:val="00FE3BB9"/>
    <w:rsid w:val="00FE3D74"/>
    <w:rsid w:val="00FE456A"/>
    <w:rsid w:val="00FE470F"/>
    <w:rsid w:val="00FE479F"/>
    <w:rsid w:val="00FE4883"/>
    <w:rsid w:val="00FE4942"/>
    <w:rsid w:val="00FE4EFD"/>
    <w:rsid w:val="00FE5030"/>
    <w:rsid w:val="00FE52DC"/>
    <w:rsid w:val="00FE56C6"/>
    <w:rsid w:val="00FE578F"/>
    <w:rsid w:val="00FE5CB0"/>
    <w:rsid w:val="00FE5D8D"/>
    <w:rsid w:val="00FE603F"/>
    <w:rsid w:val="00FE64C5"/>
    <w:rsid w:val="00FE696F"/>
    <w:rsid w:val="00FE6E7D"/>
    <w:rsid w:val="00FE6F48"/>
    <w:rsid w:val="00FE6F79"/>
    <w:rsid w:val="00FE6FEE"/>
    <w:rsid w:val="00FE71F7"/>
    <w:rsid w:val="00FE733D"/>
    <w:rsid w:val="00FE7518"/>
    <w:rsid w:val="00FE7617"/>
    <w:rsid w:val="00FE7929"/>
    <w:rsid w:val="00FE792B"/>
    <w:rsid w:val="00FE7B63"/>
    <w:rsid w:val="00FE7E7D"/>
    <w:rsid w:val="00FF002F"/>
    <w:rsid w:val="00FF013F"/>
    <w:rsid w:val="00FF025A"/>
    <w:rsid w:val="00FF0833"/>
    <w:rsid w:val="00FF0A5D"/>
    <w:rsid w:val="00FF126C"/>
    <w:rsid w:val="00FF1CAC"/>
    <w:rsid w:val="00FF1CFA"/>
    <w:rsid w:val="00FF201F"/>
    <w:rsid w:val="00FF202E"/>
    <w:rsid w:val="00FF2199"/>
    <w:rsid w:val="00FF257E"/>
    <w:rsid w:val="00FF25F5"/>
    <w:rsid w:val="00FF287E"/>
    <w:rsid w:val="00FF295A"/>
    <w:rsid w:val="00FF2B32"/>
    <w:rsid w:val="00FF2DCA"/>
    <w:rsid w:val="00FF306B"/>
    <w:rsid w:val="00FF30FE"/>
    <w:rsid w:val="00FF318F"/>
    <w:rsid w:val="00FF34D0"/>
    <w:rsid w:val="00FF3724"/>
    <w:rsid w:val="00FF37E0"/>
    <w:rsid w:val="00FF3BC9"/>
    <w:rsid w:val="00FF3DBF"/>
    <w:rsid w:val="00FF3DF9"/>
    <w:rsid w:val="00FF403E"/>
    <w:rsid w:val="00FF40D2"/>
    <w:rsid w:val="00FF4677"/>
    <w:rsid w:val="00FF46C9"/>
    <w:rsid w:val="00FF4ED6"/>
    <w:rsid w:val="00FF4FD9"/>
    <w:rsid w:val="00FF5356"/>
    <w:rsid w:val="00FF559B"/>
    <w:rsid w:val="00FF5645"/>
    <w:rsid w:val="00FF5932"/>
    <w:rsid w:val="00FF59F5"/>
    <w:rsid w:val="00FF5AC8"/>
    <w:rsid w:val="00FF5C58"/>
    <w:rsid w:val="00FF5CAC"/>
    <w:rsid w:val="00FF5E66"/>
    <w:rsid w:val="00FF5EEF"/>
    <w:rsid w:val="00FF5EFD"/>
    <w:rsid w:val="00FF6003"/>
    <w:rsid w:val="00FF6252"/>
    <w:rsid w:val="00FF62ED"/>
    <w:rsid w:val="00FF6644"/>
    <w:rsid w:val="00FF6811"/>
    <w:rsid w:val="00FF681F"/>
    <w:rsid w:val="00FF70BB"/>
    <w:rsid w:val="00FF74C2"/>
    <w:rsid w:val="00FF759F"/>
    <w:rsid w:val="00FF7B42"/>
    <w:rsid w:val="0326C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60FC"/>
  <w15:chartTrackingRefBased/>
  <w15:docId w15:val="{19E8A004-D4F5-424A-8817-5B111DD5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88"/>
    <w:pPr>
      <w:spacing w:before="240" w:after="240" w:line="300" w:lineRule="auto"/>
    </w:pPr>
    <w:rPr>
      <w:rFonts w:ascii="Arial" w:hAnsi="Arial"/>
      <w:sz w:val="24"/>
    </w:rPr>
  </w:style>
  <w:style w:type="paragraph" w:styleId="Heading1">
    <w:name w:val="heading 1"/>
    <w:basedOn w:val="Normal"/>
    <w:next w:val="Normal"/>
    <w:link w:val="Heading1Char"/>
    <w:uiPriority w:val="9"/>
    <w:qFormat/>
    <w:rsid w:val="00172F66"/>
    <w:pPr>
      <w:keepNext/>
      <w:keepLines/>
      <w:outlineLvl w:val="0"/>
    </w:pPr>
    <w:rPr>
      <w:rFonts w:eastAsiaTheme="majorEastAsia" w:cstheme="majorBidi"/>
      <w:b/>
      <w:color w:val="044D85"/>
      <w:sz w:val="36"/>
      <w:szCs w:val="32"/>
    </w:rPr>
  </w:style>
  <w:style w:type="paragraph" w:styleId="Heading2">
    <w:name w:val="heading 2"/>
    <w:basedOn w:val="Normal"/>
    <w:next w:val="Normal"/>
    <w:link w:val="Heading2Char"/>
    <w:uiPriority w:val="9"/>
    <w:unhideWhenUsed/>
    <w:qFormat/>
    <w:rsid w:val="00172F66"/>
    <w:pPr>
      <w:keepNext/>
      <w:keepLines/>
      <w:numPr>
        <w:numId w:val="1"/>
      </w:numPr>
      <w:tabs>
        <w:tab w:val="clear" w:pos="9650"/>
        <w:tab w:val="num" w:pos="1288"/>
      </w:tabs>
      <w:ind w:left="1288"/>
      <w:outlineLvl w:val="1"/>
    </w:pPr>
    <w:rPr>
      <w:rFonts w:eastAsiaTheme="majorEastAsia" w:cstheme="majorBidi"/>
      <w:b/>
      <w:color w:val="633B71"/>
      <w:sz w:val="32"/>
      <w:szCs w:val="26"/>
    </w:rPr>
  </w:style>
  <w:style w:type="paragraph" w:styleId="Heading3">
    <w:name w:val="heading 3"/>
    <w:basedOn w:val="Normal"/>
    <w:next w:val="Normal"/>
    <w:link w:val="Heading3Char"/>
    <w:uiPriority w:val="9"/>
    <w:unhideWhenUsed/>
    <w:qFormat/>
    <w:rsid w:val="00712D0E"/>
    <w:pPr>
      <w:keepNext/>
      <w:keepLines/>
      <w:spacing w:before="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172F66"/>
    <w:pPr>
      <w:keepNext/>
      <w:keepLines/>
      <w:outlineLvl w:val="3"/>
    </w:pPr>
    <w:rPr>
      <w:rFonts w:eastAsiaTheme="majorEastAsia" w:cstheme="majorBidi"/>
      <w:b/>
      <w:iCs/>
      <w:color w:val="707070"/>
    </w:rPr>
  </w:style>
  <w:style w:type="paragraph" w:styleId="Heading5">
    <w:name w:val="heading 5"/>
    <w:basedOn w:val="Normal"/>
    <w:next w:val="Normal"/>
    <w:link w:val="Heading5Char"/>
    <w:uiPriority w:val="9"/>
    <w:unhideWhenUsed/>
    <w:qFormat/>
    <w:rsid w:val="00097788"/>
    <w:pPr>
      <w:keepNext/>
      <w:keepLines/>
      <w:pBdr>
        <w:left w:val="single" w:sz="36" w:space="4" w:color="1F3864" w:themeColor="accent1" w:themeShade="80"/>
      </w:pBdr>
      <w:spacing w:after="0"/>
      <w:ind w:left="397"/>
      <w:outlineLvl w:val="4"/>
    </w:pPr>
    <w:rPr>
      <w:rFonts w:eastAsiaTheme="majorEastAsia" w:cstheme="majorBidi"/>
      <w:b/>
      <w:color w:val="002060"/>
    </w:rPr>
  </w:style>
  <w:style w:type="paragraph" w:styleId="Heading6">
    <w:name w:val="heading 6"/>
    <w:basedOn w:val="Normal"/>
    <w:next w:val="Normal"/>
    <w:link w:val="Heading6Char"/>
    <w:uiPriority w:val="9"/>
    <w:unhideWhenUsed/>
    <w:qFormat/>
    <w:rsid w:val="00DD2BBE"/>
    <w:pPr>
      <w:keepNext/>
      <w:keepLines/>
      <w:ind w:left="397"/>
      <w:outlineLvl w:val="5"/>
    </w:pPr>
    <w:rPr>
      <w:rFonts w:eastAsiaTheme="majorEastAsia" w:cstheme="majorBidi"/>
      <w:b/>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F66"/>
    <w:rPr>
      <w:rFonts w:ascii="Arial" w:eastAsiaTheme="majorEastAsia" w:hAnsi="Arial" w:cstheme="majorBidi"/>
      <w:b/>
      <w:color w:val="044D85"/>
      <w:sz w:val="36"/>
      <w:szCs w:val="32"/>
    </w:rPr>
  </w:style>
  <w:style w:type="character" w:customStyle="1" w:styleId="Heading2Char">
    <w:name w:val="Heading 2 Char"/>
    <w:basedOn w:val="DefaultParagraphFont"/>
    <w:link w:val="Heading2"/>
    <w:uiPriority w:val="9"/>
    <w:rsid w:val="00172F66"/>
    <w:rPr>
      <w:rFonts w:ascii="Arial" w:eastAsiaTheme="majorEastAsia" w:hAnsi="Arial" w:cstheme="majorBidi"/>
      <w:b/>
      <w:color w:val="633B71"/>
      <w:sz w:val="32"/>
      <w:szCs w:val="26"/>
    </w:rPr>
  </w:style>
  <w:style w:type="character" w:customStyle="1" w:styleId="Heading3Char">
    <w:name w:val="Heading 3 Char"/>
    <w:basedOn w:val="DefaultParagraphFont"/>
    <w:link w:val="Heading3"/>
    <w:uiPriority w:val="9"/>
    <w:rsid w:val="00712D0E"/>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172F66"/>
    <w:rPr>
      <w:rFonts w:ascii="Arial" w:eastAsiaTheme="majorEastAsia" w:hAnsi="Arial" w:cstheme="majorBidi"/>
      <w:b/>
      <w:iCs/>
      <w:color w:val="707070"/>
      <w:sz w:val="24"/>
    </w:rPr>
  </w:style>
  <w:style w:type="character" w:customStyle="1" w:styleId="Heading5Char">
    <w:name w:val="Heading 5 Char"/>
    <w:basedOn w:val="DefaultParagraphFont"/>
    <w:link w:val="Heading5"/>
    <w:uiPriority w:val="9"/>
    <w:rsid w:val="00097788"/>
    <w:rPr>
      <w:rFonts w:ascii="Arial" w:eastAsiaTheme="majorEastAsia" w:hAnsi="Arial" w:cstheme="majorBidi"/>
      <w:b/>
      <w:color w:val="002060"/>
      <w:sz w:val="24"/>
    </w:rPr>
  </w:style>
  <w:style w:type="paragraph" w:customStyle="1" w:styleId="Style2">
    <w:name w:val="Style2"/>
    <w:basedOn w:val="BodyText"/>
    <w:link w:val="Style2Char"/>
    <w:qFormat/>
    <w:rsid w:val="009B37BF"/>
    <w:rPr>
      <w:color w:val="3B3838" w:themeColor="background2" w:themeShade="40"/>
    </w:rPr>
  </w:style>
  <w:style w:type="paragraph" w:styleId="BodyText">
    <w:name w:val="Body Text"/>
    <w:basedOn w:val="Normal"/>
    <w:link w:val="BodyTextChar"/>
    <w:uiPriority w:val="1"/>
    <w:unhideWhenUsed/>
    <w:qFormat/>
    <w:rsid w:val="002429EC"/>
    <w:rPr>
      <w:color w:val="0D0D0D" w:themeColor="text1" w:themeTint="F2"/>
    </w:rPr>
  </w:style>
  <w:style w:type="character" w:customStyle="1" w:styleId="BodyTextChar">
    <w:name w:val="Body Text Char"/>
    <w:basedOn w:val="DefaultParagraphFont"/>
    <w:link w:val="BodyText"/>
    <w:uiPriority w:val="99"/>
    <w:rsid w:val="002429EC"/>
    <w:rPr>
      <w:rFonts w:ascii="Arial" w:hAnsi="Arial"/>
      <w:color w:val="0D0D0D" w:themeColor="text1" w:themeTint="F2"/>
      <w:sz w:val="24"/>
    </w:rPr>
  </w:style>
  <w:style w:type="character" w:customStyle="1" w:styleId="Style2Char">
    <w:name w:val="Style2 Char"/>
    <w:basedOn w:val="BodyTextChar"/>
    <w:link w:val="Style2"/>
    <w:rsid w:val="009B37BF"/>
    <w:rPr>
      <w:rFonts w:ascii="Arial" w:hAnsi="Arial"/>
      <w:color w:val="3B3838" w:themeColor="background2" w:themeShade="40"/>
      <w:sz w:val="24"/>
    </w:rPr>
  </w:style>
  <w:style w:type="paragraph" w:styleId="ListBullet">
    <w:name w:val="List Bullet"/>
    <w:basedOn w:val="Normal"/>
    <w:uiPriority w:val="99"/>
    <w:unhideWhenUsed/>
    <w:qFormat/>
    <w:rsid w:val="007F1B08"/>
    <w:pPr>
      <w:numPr>
        <w:numId w:val="2"/>
      </w:numPr>
      <w:spacing w:before="0" w:after="0"/>
      <w:ind w:left="357" w:hanging="357"/>
    </w:pPr>
    <w:rPr>
      <w:color w:val="0D0D0D" w:themeColor="text1" w:themeTint="F2"/>
    </w:rPr>
  </w:style>
  <w:style w:type="paragraph" w:styleId="ListBullet2">
    <w:name w:val="List Bullet 2"/>
    <w:basedOn w:val="Normal"/>
    <w:uiPriority w:val="99"/>
    <w:unhideWhenUsed/>
    <w:qFormat/>
    <w:rsid w:val="006E7C75"/>
    <w:pPr>
      <w:numPr>
        <w:numId w:val="3"/>
      </w:numPr>
      <w:ind w:left="357" w:hanging="357"/>
    </w:pPr>
    <w:rPr>
      <w:color w:val="0D0D0D" w:themeColor="text1" w:themeTint="F2"/>
    </w:rPr>
  </w:style>
  <w:style w:type="paragraph" w:styleId="ListParagraph">
    <w:name w:val="List Paragraph"/>
    <w:basedOn w:val="Normal"/>
    <w:uiPriority w:val="1"/>
    <w:qFormat/>
    <w:rsid w:val="00DA24E6"/>
    <w:pPr>
      <w:overflowPunct w:val="0"/>
      <w:autoSpaceDE w:val="0"/>
      <w:autoSpaceDN w:val="0"/>
      <w:adjustRightInd w:val="0"/>
      <w:spacing w:after="0" w:line="240" w:lineRule="auto"/>
      <w:ind w:left="720"/>
      <w:contextualSpacing/>
      <w:textAlignment w:val="baseline"/>
    </w:pPr>
    <w:rPr>
      <w:rFonts w:eastAsia="Times New Roman" w:cs="Times New Roman"/>
      <w:szCs w:val="20"/>
      <w:lang w:eastAsia="en-GB"/>
    </w:rPr>
  </w:style>
  <w:style w:type="paragraph" w:styleId="BalloonText">
    <w:name w:val="Balloon Text"/>
    <w:basedOn w:val="Normal"/>
    <w:link w:val="BalloonTextChar"/>
    <w:uiPriority w:val="99"/>
    <w:semiHidden/>
    <w:unhideWhenUsed/>
    <w:rsid w:val="00DA2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4E6"/>
    <w:rPr>
      <w:rFonts w:ascii="Segoe UI" w:hAnsi="Segoe UI" w:cs="Segoe UI"/>
      <w:sz w:val="18"/>
      <w:szCs w:val="18"/>
    </w:rPr>
  </w:style>
  <w:style w:type="paragraph" w:styleId="Footer">
    <w:name w:val="footer"/>
    <w:basedOn w:val="Normal"/>
    <w:link w:val="FooterChar"/>
    <w:uiPriority w:val="99"/>
    <w:unhideWhenUsed/>
    <w:rsid w:val="00DA24E6"/>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FooterChar">
    <w:name w:val="Footer Char"/>
    <w:basedOn w:val="DefaultParagraphFont"/>
    <w:link w:val="Footer"/>
    <w:uiPriority w:val="99"/>
    <w:rsid w:val="00DA24E6"/>
    <w:rPr>
      <w:rFonts w:ascii="Arial" w:eastAsia="Times New Roman" w:hAnsi="Arial" w:cs="Times New Roman"/>
      <w:szCs w:val="20"/>
      <w:lang w:eastAsia="en-GB"/>
    </w:rPr>
  </w:style>
  <w:style w:type="character" w:styleId="Hyperlink">
    <w:name w:val="Hyperlink"/>
    <w:basedOn w:val="DefaultParagraphFont"/>
    <w:uiPriority w:val="99"/>
    <w:unhideWhenUsed/>
    <w:rsid w:val="00DA24E6"/>
    <w:rPr>
      <w:color w:val="0563C1" w:themeColor="hyperlink"/>
      <w:u w:val="single"/>
    </w:rPr>
  </w:style>
  <w:style w:type="paragraph" w:styleId="NoSpacing">
    <w:name w:val="No Spacing"/>
    <w:uiPriority w:val="1"/>
    <w:qFormat/>
    <w:rsid w:val="00DA24E6"/>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styleId="Header">
    <w:name w:val="header"/>
    <w:basedOn w:val="Normal"/>
    <w:link w:val="HeaderChar"/>
    <w:uiPriority w:val="99"/>
    <w:unhideWhenUsed/>
    <w:rsid w:val="000A3E5C"/>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HeaderChar">
    <w:name w:val="Header Char"/>
    <w:basedOn w:val="DefaultParagraphFont"/>
    <w:link w:val="Header"/>
    <w:uiPriority w:val="99"/>
    <w:rsid w:val="000A3E5C"/>
    <w:rPr>
      <w:rFonts w:ascii="Arial" w:eastAsia="Times New Roman" w:hAnsi="Arial" w:cs="Times New Roman"/>
      <w:szCs w:val="20"/>
      <w:lang w:eastAsia="en-GB"/>
    </w:rPr>
  </w:style>
  <w:style w:type="paragraph" w:styleId="TOC2">
    <w:name w:val="toc 2"/>
    <w:basedOn w:val="Normal"/>
    <w:next w:val="Normal"/>
    <w:autoRedefine/>
    <w:uiPriority w:val="39"/>
    <w:unhideWhenUsed/>
    <w:rsid w:val="009E6228"/>
    <w:pPr>
      <w:ind w:left="221"/>
    </w:pPr>
    <w:rPr>
      <w:b/>
      <w:color w:val="002060"/>
      <w:sz w:val="28"/>
    </w:rPr>
  </w:style>
  <w:style w:type="paragraph" w:styleId="TOC3">
    <w:name w:val="toc 3"/>
    <w:basedOn w:val="Normal"/>
    <w:next w:val="Normal"/>
    <w:autoRedefine/>
    <w:uiPriority w:val="39"/>
    <w:unhideWhenUsed/>
    <w:rsid w:val="00FF46C9"/>
    <w:pPr>
      <w:ind w:left="442"/>
    </w:pPr>
    <w:rPr>
      <w:color w:val="0D0D0D" w:themeColor="text1" w:themeTint="F2"/>
    </w:rPr>
  </w:style>
  <w:style w:type="paragraph" w:styleId="FootnoteText">
    <w:name w:val="footnote text"/>
    <w:basedOn w:val="Normal"/>
    <w:link w:val="FootnoteTextChar"/>
    <w:uiPriority w:val="99"/>
    <w:semiHidden/>
    <w:unhideWhenUsed/>
    <w:rsid w:val="00E874AC"/>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874A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874AC"/>
    <w:rPr>
      <w:vertAlign w:val="superscript"/>
    </w:rPr>
  </w:style>
  <w:style w:type="character" w:styleId="CommentReference">
    <w:name w:val="annotation reference"/>
    <w:basedOn w:val="DefaultParagraphFont"/>
    <w:uiPriority w:val="99"/>
    <w:semiHidden/>
    <w:unhideWhenUsed/>
    <w:rsid w:val="00FA492A"/>
    <w:rPr>
      <w:sz w:val="16"/>
      <w:szCs w:val="16"/>
    </w:rPr>
  </w:style>
  <w:style w:type="paragraph" w:styleId="TOC1">
    <w:name w:val="toc 1"/>
    <w:basedOn w:val="Normal"/>
    <w:next w:val="Normal"/>
    <w:autoRedefine/>
    <w:uiPriority w:val="39"/>
    <w:unhideWhenUsed/>
    <w:rsid w:val="00324318"/>
    <w:rPr>
      <w:b/>
      <w:color w:val="0D0D0D" w:themeColor="text1" w:themeTint="F2"/>
    </w:rPr>
  </w:style>
  <w:style w:type="paragraph" w:styleId="CommentText">
    <w:name w:val="annotation text"/>
    <w:basedOn w:val="Normal"/>
    <w:link w:val="CommentTextChar"/>
    <w:uiPriority w:val="99"/>
    <w:unhideWhenUsed/>
    <w:rsid w:val="00FA492A"/>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FA492A"/>
    <w:rPr>
      <w:rFonts w:ascii="Arial" w:eastAsia="Times New Roman" w:hAnsi="Arial" w:cs="Times New Roman"/>
      <w:sz w:val="20"/>
      <w:szCs w:val="20"/>
      <w:lang w:eastAsia="en-GB"/>
    </w:rPr>
  </w:style>
  <w:style w:type="character" w:customStyle="1" w:styleId="title-text">
    <w:name w:val="title-text"/>
    <w:basedOn w:val="DefaultParagraphFont"/>
    <w:rsid w:val="00EF7A30"/>
    <w:rPr>
      <w:rFonts w:cs="Times New Roman"/>
    </w:rPr>
  </w:style>
  <w:style w:type="paragraph" w:styleId="TOC4">
    <w:name w:val="toc 4"/>
    <w:basedOn w:val="Normal"/>
    <w:next w:val="Normal"/>
    <w:autoRedefine/>
    <w:uiPriority w:val="39"/>
    <w:unhideWhenUsed/>
    <w:rsid w:val="00132C0B"/>
    <w:pPr>
      <w:tabs>
        <w:tab w:val="right" w:leader="dot" w:pos="9016"/>
      </w:tabs>
      <w:ind w:left="658"/>
    </w:pPr>
    <w:rPr>
      <w:color w:val="002060"/>
    </w:rPr>
  </w:style>
  <w:style w:type="table" w:styleId="TableGrid">
    <w:name w:val="Table Grid"/>
    <w:basedOn w:val="TableNormal"/>
    <w:uiPriority w:val="39"/>
    <w:rsid w:val="0000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4541"/>
    <w:rPr>
      <w:color w:val="954F72" w:themeColor="followedHyperlink"/>
      <w:u w:val="single"/>
    </w:rPr>
  </w:style>
  <w:style w:type="character" w:styleId="UnresolvedMention">
    <w:name w:val="Unresolved Mention"/>
    <w:basedOn w:val="DefaultParagraphFont"/>
    <w:uiPriority w:val="99"/>
    <w:unhideWhenUsed/>
    <w:rsid w:val="00E14541"/>
    <w:rPr>
      <w:color w:val="605E5C"/>
      <w:shd w:val="clear" w:color="auto" w:fill="E1DFDD"/>
    </w:rPr>
  </w:style>
  <w:style w:type="paragraph" w:styleId="ListNumber">
    <w:name w:val="List Number"/>
    <w:basedOn w:val="Normal"/>
    <w:autoRedefine/>
    <w:uiPriority w:val="99"/>
    <w:unhideWhenUsed/>
    <w:qFormat/>
    <w:rsid w:val="00DA61C9"/>
    <w:pPr>
      <w:numPr>
        <w:numId w:val="5"/>
      </w:numPr>
    </w:pPr>
    <w:rPr>
      <w:color w:val="0D0D0D" w:themeColor="text1" w:themeTint="F2"/>
    </w:rPr>
  </w:style>
  <w:style w:type="paragraph" w:styleId="BodyText2">
    <w:name w:val="Body Text 2"/>
    <w:basedOn w:val="Normal"/>
    <w:link w:val="BodyText2Char"/>
    <w:uiPriority w:val="99"/>
    <w:unhideWhenUsed/>
    <w:qFormat/>
    <w:rsid w:val="004461FF"/>
    <w:pPr>
      <w:spacing w:after="120"/>
    </w:pPr>
    <w:rPr>
      <w:color w:val="0D0D0D" w:themeColor="text1" w:themeTint="F2"/>
      <w:sz w:val="20"/>
    </w:rPr>
  </w:style>
  <w:style w:type="character" w:customStyle="1" w:styleId="BodyText2Char">
    <w:name w:val="Body Text 2 Char"/>
    <w:basedOn w:val="DefaultParagraphFont"/>
    <w:link w:val="BodyText2"/>
    <w:uiPriority w:val="99"/>
    <w:rsid w:val="004461FF"/>
    <w:rPr>
      <w:rFonts w:ascii="Arial" w:hAnsi="Arial"/>
      <w:color w:val="0D0D0D" w:themeColor="text1" w:themeTint="F2"/>
      <w:sz w:val="20"/>
    </w:rPr>
  </w:style>
  <w:style w:type="paragraph" w:styleId="ListNumber2">
    <w:name w:val="List Number 2"/>
    <w:basedOn w:val="Normal"/>
    <w:uiPriority w:val="99"/>
    <w:unhideWhenUsed/>
    <w:qFormat/>
    <w:rsid w:val="001357A7"/>
    <w:pPr>
      <w:numPr>
        <w:numId w:val="4"/>
      </w:numPr>
      <w:contextualSpacing/>
    </w:pPr>
    <w:rPr>
      <w:color w:val="0D0D0D" w:themeColor="text1" w:themeTint="F2"/>
    </w:rPr>
  </w:style>
  <w:style w:type="paragraph" w:styleId="BodyTextFirstIndent">
    <w:name w:val="Body Text First Indent"/>
    <w:basedOn w:val="BodyText"/>
    <w:next w:val="BodyText"/>
    <w:link w:val="BodyTextFirstIndentChar"/>
    <w:uiPriority w:val="99"/>
    <w:unhideWhenUsed/>
    <w:qFormat/>
    <w:rsid w:val="000461EE"/>
    <w:pPr>
      <w:pBdr>
        <w:left w:val="single" w:sz="48" w:space="4" w:color="7F7F7F" w:themeColor="text1" w:themeTint="80"/>
      </w:pBdr>
      <w:spacing w:after="0"/>
      <w:ind w:left="357" w:firstLine="357"/>
    </w:pPr>
  </w:style>
  <w:style w:type="character" w:customStyle="1" w:styleId="BodyTextFirstIndentChar">
    <w:name w:val="Body Text First Indent Char"/>
    <w:basedOn w:val="BodyTextChar"/>
    <w:link w:val="BodyTextFirstIndent"/>
    <w:uiPriority w:val="99"/>
    <w:rsid w:val="000461EE"/>
    <w:rPr>
      <w:rFonts w:ascii="Arial" w:hAnsi="Arial"/>
      <w:color w:val="0D0D0D" w:themeColor="text1" w:themeTint="F2"/>
      <w:sz w:val="24"/>
    </w:rPr>
  </w:style>
  <w:style w:type="paragraph" w:styleId="ListBullet3">
    <w:name w:val="List Bullet 3"/>
    <w:basedOn w:val="ListBullet"/>
    <w:uiPriority w:val="99"/>
    <w:unhideWhenUsed/>
    <w:qFormat/>
    <w:rsid w:val="004A2AE4"/>
    <w:pPr>
      <w:numPr>
        <w:numId w:val="6"/>
      </w:numPr>
      <w:ind w:left="714" w:hanging="357"/>
    </w:pPr>
  </w:style>
  <w:style w:type="paragraph" w:styleId="BodyText3">
    <w:name w:val="Body Text 3"/>
    <w:basedOn w:val="Normal"/>
    <w:link w:val="BodyText3Char"/>
    <w:uiPriority w:val="99"/>
    <w:unhideWhenUsed/>
    <w:qFormat/>
    <w:rsid w:val="005E334E"/>
    <w:pPr>
      <w:pBdr>
        <w:bottom w:val="dashed" w:sz="12" w:space="1" w:color="0D0D0D" w:themeColor="text1" w:themeTint="F2"/>
      </w:pBdr>
    </w:pPr>
    <w:rPr>
      <w:b/>
      <w:color w:val="0D0D0D" w:themeColor="text1" w:themeTint="F2"/>
      <w:szCs w:val="16"/>
    </w:rPr>
  </w:style>
  <w:style w:type="character" w:customStyle="1" w:styleId="BodyText3Char">
    <w:name w:val="Body Text 3 Char"/>
    <w:basedOn w:val="DefaultParagraphFont"/>
    <w:link w:val="BodyText3"/>
    <w:uiPriority w:val="99"/>
    <w:rsid w:val="005E334E"/>
    <w:rPr>
      <w:rFonts w:ascii="Arial" w:hAnsi="Arial"/>
      <w:b/>
      <w:color w:val="0D0D0D" w:themeColor="text1" w:themeTint="F2"/>
      <w:sz w:val="24"/>
      <w:szCs w:val="16"/>
    </w:rPr>
  </w:style>
  <w:style w:type="paragraph" w:styleId="CommentSubject">
    <w:name w:val="annotation subject"/>
    <w:basedOn w:val="CommentText"/>
    <w:next w:val="CommentText"/>
    <w:link w:val="CommentSubjectChar"/>
    <w:uiPriority w:val="99"/>
    <w:semiHidden/>
    <w:unhideWhenUsed/>
    <w:rsid w:val="00A34858"/>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34858"/>
    <w:rPr>
      <w:rFonts w:ascii="Arial" w:eastAsia="Times New Roman" w:hAnsi="Arial" w:cs="Times New Roman"/>
      <w:b/>
      <w:bCs/>
      <w:sz w:val="20"/>
      <w:szCs w:val="20"/>
      <w:lang w:eastAsia="en-GB"/>
    </w:rPr>
  </w:style>
  <w:style w:type="paragraph" w:styleId="Revision">
    <w:name w:val="Revision"/>
    <w:hidden/>
    <w:uiPriority w:val="99"/>
    <w:semiHidden/>
    <w:rsid w:val="00A85EAC"/>
    <w:pPr>
      <w:spacing w:after="0" w:line="240" w:lineRule="auto"/>
    </w:pPr>
  </w:style>
  <w:style w:type="paragraph" w:styleId="NormalWeb">
    <w:name w:val="Normal (Web)"/>
    <w:basedOn w:val="Normal"/>
    <w:uiPriority w:val="99"/>
    <w:semiHidden/>
    <w:unhideWhenUsed/>
    <w:rsid w:val="00571DD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defterm">
    <w:name w:val="defterm"/>
    <w:basedOn w:val="DefaultParagraphFont"/>
    <w:rsid w:val="007F3845"/>
  </w:style>
  <w:style w:type="character" w:customStyle="1" w:styleId="after">
    <w:name w:val="after"/>
    <w:basedOn w:val="DefaultParagraphFont"/>
    <w:rsid w:val="007F3845"/>
  </w:style>
  <w:style w:type="character" w:customStyle="1" w:styleId="before">
    <w:name w:val="before"/>
    <w:basedOn w:val="DefaultParagraphFont"/>
    <w:rsid w:val="007F3845"/>
  </w:style>
  <w:style w:type="character" w:customStyle="1" w:styleId="sectxt">
    <w:name w:val="sectxt"/>
    <w:basedOn w:val="DefaultParagraphFont"/>
    <w:rsid w:val="004636FC"/>
  </w:style>
  <w:style w:type="character" w:customStyle="1" w:styleId="Heading6Char">
    <w:name w:val="Heading 6 Char"/>
    <w:basedOn w:val="DefaultParagraphFont"/>
    <w:link w:val="Heading6"/>
    <w:uiPriority w:val="9"/>
    <w:rsid w:val="00DD2BBE"/>
    <w:rPr>
      <w:rFonts w:ascii="Arial" w:eastAsiaTheme="majorEastAsia" w:hAnsi="Arial" w:cstheme="majorBidi"/>
      <w:b/>
      <w:color w:val="002060"/>
      <w:sz w:val="24"/>
    </w:rPr>
  </w:style>
  <w:style w:type="paragraph" w:customStyle="1" w:styleId="BodyTextGrey">
    <w:name w:val="Body Text Grey"/>
    <w:basedOn w:val="BodyText"/>
    <w:qFormat/>
    <w:rsid w:val="0026519C"/>
    <w:rPr>
      <w:rFonts w:eastAsia="Times New Roman" w:cs="Arial"/>
      <w:iCs/>
      <w:color w:val="000000" w:themeColor="text1"/>
      <w:szCs w:val="24"/>
      <w14:textFill>
        <w14:solidFill>
          <w14:schemeClr w14:val="tx1">
            <w14:lumMod w14:val="95000"/>
            <w14:lumOff w14:val="5000"/>
            <w14:lumMod w14:val="95000"/>
            <w14:lumOff w14:val="5000"/>
            <w14:lumMod w14:val="95000"/>
          </w14:schemeClr>
        </w14:solidFill>
      </w14:textFill>
    </w:rPr>
  </w:style>
  <w:style w:type="character" w:customStyle="1" w:styleId="authorname">
    <w:name w:val="authorname"/>
    <w:basedOn w:val="DefaultParagraphFont"/>
    <w:rsid w:val="00491BDD"/>
  </w:style>
  <w:style w:type="paragraph" w:styleId="TOC5">
    <w:name w:val="toc 5"/>
    <w:basedOn w:val="Normal"/>
    <w:next w:val="Normal"/>
    <w:autoRedefine/>
    <w:uiPriority w:val="39"/>
    <w:unhideWhenUsed/>
    <w:rsid w:val="00D717D8"/>
    <w:pPr>
      <w:spacing w:after="100"/>
      <w:ind w:left="880"/>
    </w:pPr>
    <w:rPr>
      <w:rFonts w:eastAsiaTheme="minorEastAsia"/>
      <w:lang w:eastAsia="en-GB"/>
    </w:rPr>
  </w:style>
  <w:style w:type="paragraph" w:styleId="TOC6">
    <w:name w:val="toc 6"/>
    <w:basedOn w:val="Normal"/>
    <w:next w:val="Normal"/>
    <w:autoRedefine/>
    <w:uiPriority w:val="39"/>
    <w:unhideWhenUsed/>
    <w:rsid w:val="00D717D8"/>
    <w:pPr>
      <w:spacing w:after="100"/>
      <w:ind w:left="1100"/>
    </w:pPr>
    <w:rPr>
      <w:rFonts w:eastAsiaTheme="minorEastAsia"/>
      <w:lang w:eastAsia="en-GB"/>
    </w:rPr>
  </w:style>
  <w:style w:type="paragraph" w:styleId="TOC7">
    <w:name w:val="toc 7"/>
    <w:basedOn w:val="Normal"/>
    <w:next w:val="Normal"/>
    <w:autoRedefine/>
    <w:uiPriority w:val="39"/>
    <w:unhideWhenUsed/>
    <w:rsid w:val="00D717D8"/>
    <w:pPr>
      <w:spacing w:after="100"/>
      <w:ind w:left="1320"/>
    </w:pPr>
    <w:rPr>
      <w:rFonts w:eastAsiaTheme="minorEastAsia"/>
      <w:lang w:eastAsia="en-GB"/>
    </w:rPr>
  </w:style>
  <w:style w:type="paragraph" w:styleId="TOC8">
    <w:name w:val="toc 8"/>
    <w:basedOn w:val="Normal"/>
    <w:next w:val="Normal"/>
    <w:autoRedefine/>
    <w:uiPriority w:val="39"/>
    <w:unhideWhenUsed/>
    <w:rsid w:val="00D717D8"/>
    <w:pPr>
      <w:spacing w:after="100"/>
      <w:ind w:left="1540"/>
    </w:pPr>
    <w:rPr>
      <w:rFonts w:eastAsiaTheme="minorEastAsia"/>
      <w:lang w:eastAsia="en-GB"/>
    </w:rPr>
  </w:style>
  <w:style w:type="paragraph" w:styleId="TOC9">
    <w:name w:val="toc 9"/>
    <w:basedOn w:val="Normal"/>
    <w:next w:val="Normal"/>
    <w:autoRedefine/>
    <w:uiPriority w:val="39"/>
    <w:unhideWhenUsed/>
    <w:rsid w:val="00D717D8"/>
    <w:pPr>
      <w:spacing w:after="100"/>
      <w:ind w:left="1760"/>
    </w:pPr>
    <w:rPr>
      <w:rFonts w:eastAsiaTheme="minorEastAsia"/>
      <w:lang w:eastAsia="en-GB"/>
    </w:rPr>
  </w:style>
  <w:style w:type="paragraph" w:styleId="EndnoteText">
    <w:name w:val="endnote text"/>
    <w:basedOn w:val="Normal"/>
    <w:link w:val="EndnoteTextChar"/>
    <w:uiPriority w:val="99"/>
    <w:semiHidden/>
    <w:unhideWhenUsed/>
    <w:rsid w:val="004A1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405"/>
    <w:rPr>
      <w:sz w:val="20"/>
      <w:szCs w:val="20"/>
    </w:rPr>
  </w:style>
  <w:style w:type="character" w:styleId="EndnoteReference">
    <w:name w:val="endnote reference"/>
    <w:basedOn w:val="DefaultParagraphFont"/>
    <w:uiPriority w:val="99"/>
    <w:semiHidden/>
    <w:unhideWhenUsed/>
    <w:rsid w:val="004A1405"/>
    <w:rPr>
      <w:vertAlign w:val="superscript"/>
    </w:rPr>
  </w:style>
  <w:style w:type="paragraph" w:styleId="Caption">
    <w:name w:val="caption"/>
    <w:basedOn w:val="Normal"/>
    <w:next w:val="Normal"/>
    <w:uiPriority w:val="35"/>
    <w:unhideWhenUsed/>
    <w:qFormat/>
    <w:rsid w:val="004F1203"/>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6B1DF7"/>
    <w:pPr>
      <w:widowControl w:val="0"/>
      <w:autoSpaceDE w:val="0"/>
      <w:autoSpaceDN w:val="0"/>
      <w:spacing w:after="0" w:line="240" w:lineRule="auto"/>
    </w:pPr>
    <w:rPr>
      <w:rFonts w:eastAsia="Arial" w:cs="Arial"/>
      <w:lang w:eastAsia="en-GB" w:bidi="en-GB"/>
    </w:rPr>
  </w:style>
  <w:style w:type="numbering" w:customStyle="1" w:styleId="Style1">
    <w:name w:val="Style1"/>
    <w:uiPriority w:val="99"/>
    <w:rsid w:val="006A72F8"/>
    <w:pPr>
      <w:numPr>
        <w:numId w:val="8"/>
      </w:numPr>
    </w:pPr>
  </w:style>
  <w:style w:type="paragraph" w:styleId="List">
    <w:name w:val="List"/>
    <w:basedOn w:val="Normal"/>
    <w:uiPriority w:val="99"/>
    <w:semiHidden/>
    <w:unhideWhenUsed/>
    <w:rsid w:val="0025070A"/>
    <w:pPr>
      <w:ind w:left="283" w:hanging="283"/>
      <w:contextualSpacing/>
    </w:pPr>
  </w:style>
  <w:style w:type="paragraph" w:styleId="TOCHeading">
    <w:name w:val="TOC Heading"/>
    <w:basedOn w:val="Heading1"/>
    <w:next w:val="Normal"/>
    <w:uiPriority w:val="39"/>
    <w:unhideWhenUsed/>
    <w:qFormat/>
    <w:rsid w:val="003E7359"/>
    <w:pPr>
      <w:spacing w:after="0" w:line="259" w:lineRule="auto"/>
      <w:outlineLvl w:val="9"/>
    </w:pPr>
    <w:rPr>
      <w:rFonts w:asciiTheme="majorHAnsi" w:hAnsiTheme="majorHAnsi"/>
      <w:b w:val="0"/>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9956">
      <w:bodyDiv w:val="1"/>
      <w:marLeft w:val="0"/>
      <w:marRight w:val="0"/>
      <w:marTop w:val="0"/>
      <w:marBottom w:val="0"/>
      <w:divBdr>
        <w:top w:val="none" w:sz="0" w:space="0" w:color="auto"/>
        <w:left w:val="none" w:sz="0" w:space="0" w:color="auto"/>
        <w:bottom w:val="none" w:sz="0" w:space="0" w:color="auto"/>
        <w:right w:val="none" w:sz="0" w:space="0" w:color="auto"/>
      </w:divBdr>
    </w:div>
    <w:div w:id="185101107">
      <w:bodyDiv w:val="1"/>
      <w:marLeft w:val="0"/>
      <w:marRight w:val="0"/>
      <w:marTop w:val="0"/>
      <w:marBottom w:val="0"/>
      <w:divBdr>
        <w:top w:val="none" w:sz="0" w:space="0" w:color="auto"/>
        <w:left w:val="none" w:sz="0" w:space="0" w:color="auto"/>
        <w:bottom w:val="none" w:sz="0" w:space="0" w:color="auto"/>
        <w:right w:val="none" w:sz="0" w:space="0" w:color="auto"/>
      </w:divBdr>
    </w:div>
    <w:div w:id="199124695">
      <w:bodyDiv w:val="1"/>
      <w:marLeft w:val="0"/>
      <w:marRight w:val="0"/>
      <w:marTop w:val="0"/>
      <w:marBottom w:val="0"/>
      <w:divBdr>
        <w:top w:val="none" w:sz="0" w:space="0" w:color="auto"/>
        <w:left w:val="none" w:sz="0" w:space="0" w:color="auto"/>
        <w:bottom w:val="none" w:sz="0" w:space="0" w:color="auto"/>
        <w:right w:val="none" w:sz="0" w:space="0" w:color="auto"/>
      </w:divBdr>
    </w:div>
    <w:div w:id="478570688">
      <w:bodyDiv w:val="1"/>
      <w:marLeft w:val="0"/>
      <w:marRight w:val="0"/>
      <w:marTop w:val="0"/>
      <w:marBottom w:val="0"/>
      <w:divBdr>
        <w:top w:val="none" w:sz="0" w:space="0" w:color="auto"/>
        <w:left w:val="none" w:sz="0" w:space="0" w:color="auto"/>
        <w:bottom w:val="none" w:sz="0" w:space="0" w:color="auto"/>
        <w:right w:val="none" w:sz="0" w:space="0" w:color="auto"/>
      </w:divBdr>
      <w:divsChild>
        <w:div w:id="625433923">
          <w:marLeft w:val="0"/>
          <w:marRight w:val="0"/>
          <w:marTop w:val="0"/>
          <w:marBottom w:val="0"/>
          <w:divBdr>
            <w:top w:val="none" w:sz="0" w:space="0" w:color="auto"/>
            <w:left w:val="none" w:sz="0" w:space="0" w:color="auto"/>
            <w:bottom w:val="none" w:sz="0" w:space="0" w:color="auto"/>
            <w:right w:val="none" w:sz="0" w:space="0" w:color="auto"/>
          </w:divBdr>
          <w:divsChild>
            <w:div w:id="1207840789">
              <w:marLeft w:val="0"/>
              <w:marRight w:val="0"/>
              <w:marTop w:val="0"/>
              <w:marBottom w:val="0"/>
              <w:divBdr>
                <w:top w:val="none" w:sz="0" w:space="0" w:color="auto"/>
                <w:left w:val="none" w:sz="0" w:space="0" w:color="auto"/>
                <w:bottom w:val="none" w:sz="0" w:space="0" w:color="auto"/>
                <w:right w:val="none" w:sz="0" w:space="0" w:color="auto"/>
              </w:divBdr>
            </w:div>
          </w:divsChild>
        </w:div>
        <w:div w:id="1806503654">
          <w:marLeft w:val="0"/>
          <w:marRight w:val="0"/>
          <w:marTop w:val="0"/>
          <w:marBottom w:val="0"/>
          <w:divBdr>
            <w:top w:val="none" w:sz="0" w:space="0" w:color="auto"/>
            <w:left w:val="none" w:sz="0" w:space="0" w:color="auto"/>
            <w:bottom w:val="none" w:sz="0" w:space="0" w:color="auto"/>
            <w:right w:val="none" w:sz="0" w:space="0" w:color="auto"/>
          </w:divBdr>
          <w:divsChild>
            <w:div w:id="26151811">
              <w:marLeft w:val="0"/>
              <w:marRight w:val="0"/>
              <w:marTop w:val="0"/>
              <w:marBottom w:val="0"/>
              <w:divBdr>
                <w:top w:val="none" w:sz="0" w:space="0" w:color="auto"/>
                <w:left w:val="none" w:sz="0" w:space="0" w:color="auto"/>
                <w:bottom w:val="none" w:sz="0" w:space="0" w:color="auto"/>
                <w:right w:val="none" w:sz="0" w:space="0" w:color="auto"/>
              </w:divBdr>
            </w:div>
            <w:div w:id="753404765">
              <w:marLeft w:val="0"/>
              <w:marRight w:val="0"/>
              <w:marTop w:val="0"/>
              <w:marBottom w:val="0"/>
              <w:divBdr>
                <w:top w:val="none" w:sz="0" w:space="0" w:color="auto"/>
                <w:left w:val="none" w:sz="0" w:space="0" w:color="auto"/>
                <w:bottom w:val="none" w:sz="0" w:space="0" w:color="auto"/>
                <w:right w:val="none" w:sz="0" w:space="0" w:color="auto"/>
              </w:divBdr>
              <w:divsChild>
                <w:div w:id="978804594">
                  <w:marLeft w:val="0"/>
                  <w:marRight w:val="0"/>
                  <w:marTop w:val="0"/>
                  <w:marBottom w:val="0"/>
                  <w:divBdr>
                    <w:top w:val="none" w:sz="0" w:space="0" w:color="auto"/>
                    <w:left w:val="none" w:sz="0" w:space="0" w:color="auto"/>
                    <w:bottom w:val="none" w:sz="0" w:space="0" w:color="auto"/>
                    <w:right w:val="none" w:sz="0" w:space="0" w:color="auto"/>
                  </w:divBdr>
                </w:div>
              </w:divsChild>
            </w:div>
            <w:div w:id="1935894455">
              <w:marLeft w:val="0"/>
              <w:marRight w:val="0"/>
              <w:marTop w:val="0"/>
              <w:marBottom w:val="0"/>
              <w:divBdr>
                <w:top w:val="none" w:sz="0" w:space="0" w:color="auto"/>
                <w:left w:val="none" w:sz="0" w:space="0" w:color="auto"/>
                <w:bottom w:val="none" w:sz="0" w:space="0" w:color="auto"/>
                <w:right w:val="none" w:sz="0" w:space="0" w:color="auto"/>
              </w:divBdr>
              <w:divsChild>
                <w:div w:id="1798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3009">
      <w:bodyDiv w:val="1"/>
      <w:marLeft w:val="0"/>
      <w:marRight w:val="0"/>
      <w:marTop w:val="0"/>
      <w:marBottom w:val="0"/>
      <w:divBdr>
        <w:top w:val="none" w:sz="0" w:space="0" w:color="auto"/>
        <w:left w:val="none" w:sz="0" w:space="0" w:color="auto"/>
        <w:bottom w:val="none" w:sz="0" w:space="0" w:color="auto"/>
        <w:right w:val="none" w:sz="0" w:space="0" w:color="auto"/>
      </w:divBdr>
    </w:div>
    <w:div w:id="701901845">
      <w:bodyDiv w:val="1"/>
      <w:marLeft w:val="0"/>
      <w:marRight w:val="0"/>
      <w:marTop w:val="0"/>
      <w:marBottom w:val="0"/>
      <w:divBdr>
        <w:top w:val="none" w:sz="0" w:space="0" w:color="auto"/>
        <w:left w:val="none" w:sz="0" w:space="0" w:color="auto"/>
        <w:bottom w:val="none" w:sz="0" w:space="0" w:color="auto"/>
        <w:right w:val="none" w:sz="0" w:space="0" w:color="auto"/>
      </w:divBdr>
    </w:div>
    <w:div w:id="701901852">
      <w:bodyDiv w:val="1"/>
      <w:marLeft w:val="0"/>
      <w:marRight w:val="0"/>
      <w:marTop w:val="0"/>
      <w:marBottom w:val="0"/>
      <w:divBdr>
        <w:top w:val="none" w:sz="0" w:space="0" w:color="auto"/>
        <w:left w:val="none" w:sz="0" w:space="0" w:color="auto"/>
        <w:bottom w:val="none" w:sz="0" w:space="0" w:color="auto"/>
        <w:right w:val="none" w:sz="0" w:space="0" w:color="auto"/>
      </w:divBdr>
    </w:div>
    <w:div w:id="747112279">
      <w:bodyDiv w:val="1"/>
      <w:marLeft w:val="0"/>
      <w:marRight w:val="0"/>
      <w:marTop w:val="0"/>
      <w:marBottom w:val="0"/>
      <w:divBdr>
        <w:top w:val="none" w:sz="0" w:space="0" w:color="auto"/>
        <w:left w:val="none" w:sz="0" w:space="0" w:color="auto"/>
        <w:bottom w:val="none" w:sz="0" w:space="0" w:color="auto"/>
        <w:right w:val="none" w:sz="0" w:space="0" w:color="auto"/>
      </w:divBdr>
    </w:div>
    <w:div w:id="766972512">
      <w:bodyDiv w:val="1"/>
      <w:marLeft w:val="0"/>
      <w:marRight w:val="0"/>
      <w:marTop w:val="0"/>
      <w:marBottom w:val="0"/>
      <w:divBdr>
        <w:top w:val="none" w:sz="0" w:space="0" w:color="auto"/>
        <w:left w:val="none" w:sz="0" w:space="0" w:color="auto"/>
        <w:bottom w:val="none" w:sz="0" w:space="0" w:color="auto"/>
        <w:right w:val="none" w:sz="0" w:space="0" w:color="auto"/>
      </w:divBdr>
    </w:div>
    <w:div w:id="829753698">
      <w:bodyDiv w:val="1"/>
      <w:marLeft w:val="0"/>
      <w:marRight w:val="0"/>
      <w:marTop w:val="0"/>
      <w:marBottom w:val="0"/>
      <w:divBdr>
        <w:top w:val="none" w:sz="0" w:space="0" w:color="auto"/>
        <w:left w:val="none" w:sz="0" w:space="0" w:color="auto"/>
        <w:bottom w:val="none" w:sz="0" w:space="0" w:color="auto"/>
        <w:right w:val="none" w:sz="0" w:space="0" w:color="auto"/>
      </w:divBdr>
    </w:div>
    <w:div w:id="1065764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0956">
          <w:marLeft w:val="0"/>
          <w:marRight w:val="0"/>
          <w:marTop w:val="0"/>
          <w:marBottom w:val="0"/>
          <w:divBdr>
            <w:top w:val="none" w:sz="0" w:space="0" w:color="auto"/>
            <w:left w:val="none" w:sz="0" w:space="0" w:color="auto"/>
            <w:bottom w:val="none" w:sz="0" w:space="0" w:color="auto"/>
            <w:right w:val="none" w:sz="0" w:space="0" w:color="auto"/>
          </w:divBdr>
          <w:divsChild>
            <w:div w:id="136530731">
              <w:marLeft w:val="0"/>
              <w:marRight w:val="0"/>
              <w:marTop w:val="0"/>
              <w:marBottom w:val="0"/>
              <w:divBdr>
                <w:top w:val="none" w:sz="0" w:space="0" w:color="auto"/>
                <w:left w:val="none" w:sz="0" w:space="0" w:color="auto"/>
                <w:bottom w:val="none" w:sz="0" w:space="0" w:color="auto"/>
                <w:right w:val="none" w:sz="0" w:space="0" w:color="auto"/>
              </w:divBdr>
              <w:divsChild>
                <w:div w:id="84763925">
                  <w:marLeft w:val="0"/>
                  <w:marRight w:val="0"/>
                  <w:marTop w:val="0"/>
                  <w:marBottom w:val="0"/>
                  <w:divBdr>
                    <w:top w:val="none" w:sz="0" w:space="0" w:color="auto"/>
                    <w:left w:val="none" w:sz="0" w:space="0" w:color="auto"/>
                    <w:bottom w:val="none" w:sz="0" w:space="0" w:color="auto"/>
                    <w:right w:val="none" w:sz="0" w:space="0" w:color="auto"/>
                  </w:divBdr>
                </w:div>
              </w:divsChild>
            </w:div>
            <w:div w:id="146943211">
              <w:marLeft w:val="0"/>
              <w:marRight w:val="0"/>
              <w:marTop w:val="0"/>
              <w:marBottom w:val="0"/>
              <w:divBdr>
                <w:top w:val="none" w:sz="0" w:space="0" w:color="auto"/>
                <w:left w:val="none" w:sz="0" w:space="0" w:color="auto"/>
                <w:bottom w:val="none" w:sz="0" w:space="0" w:color="auto"/>
                <w:right w:val="none" w:sz="0" w:space="0" w:color="auto"/>
              </w:divBdr>
              <w:divsChild>
                <w:div w:id="764569747">
                  <w:marLeft w:val="0"/>
                  <w:marRight w:val="0"/>
                  <w:marTop w:val="0"/>
                  <w:marBottom w:val="0"/>
                  <w:divBdr>
                    <w:top w:val="none" w:sz="0" w:space="0" w:color="auto"/>
                    <w:left w:val="none" w:sz="0" w:space="0" w:color="auto"/>
                    <w:bottom w:val="none" w:sz="0" w:space="0" w:color="auto"/>
                    <w:right w:val="none" w:sz="0" w:space="0" w:color="auto"/>
                  </w:divBdr>
                </w:div>
              </w:divsChild>
            </w:div>
            <w:div w:id="194730895">
              <w:marLeft w:val="0"/>
              <w:marRight w:val="0"/>
              <w:marTop w:val="0"/>
              <w:marBottom w:val="0"/>
              <w:divBdr>
                <w:top w:val="none" w:sz="0" w:space="0" w:color="auto"/>
                <w:left w:val="none" w:sz="0" w:space="0" w:color="auto"/>
                <w:bottom w:val="none" w:sz="0" w:space="0" w:color="auto"/>
                <w:right w:val="none" w:sz="0" w:space="0" w:color="auto"/>
              </w:divBdr>
              <w:divsChild>
                <w:div w:id="1677343311">
                  <w:marLeft w:val="0"/>
                  <w:marRight w:val="0"/>
                  <w:marTop w:val="0"/>
                  <w:marBottom w:val="0"/>
                  <w:divBdr>
                    <w:top w:val="none" w:sz="0" w:space="0" w:color="auto"/>
                    <w:left w:val="none" w:sz="0" w:space="0" w:color="auto"/>
                    <w:bottom w:val="none" w:sz="0" w:space="0" w:color="auto"/>
                    <w:right w:val="none" w:sz="0" w:space="0" w:color="auto"/>
                  </w:divBdr>
                </w:div>
              </w:divsChild>
            </w:div>
            <w:div w:id="394090645">
              <w:marLeft w:val="0"/>
              <w:marRight w:val="0"/>
              <w:marTop w:val="0"/>
              <w:marBottom w:val="0"/>
              <w:divBdr>
                <w:top w:val="none" w:sz="0" w:space="0" w:color="auto"/>
                <w:left w:val="none" w:sz="0" w:space="0" w:color="auto"/>
                <w:bottom w:val="none" w:sz="0" w:space="0" w:color="auto"/>
                <w:right w:val="none" w:sz="0" w:space="0" w:color="auto"/>
              </w:divBdr>
              <w:divsChild>
                <w:div w:id="1071847299">
                  <w:marLeft w:val="0"/>
                  <w:marRight w:val="0"/>
                  <w:marTop w:val="0"/>
                  <w:marBottom w:val="0"/>
                  <w:divBdr>
                    <w:top w:val="none" w:sz="0" w:space="0" w:color="auto"/>
                    <w:left w:val="none" w:sz="0" w:space="0" w:color="auto"/>
                    <w:bottom w:val="none" w:sz="0" w:space="0" w:color="auto"/>
                    <w:right w:val="none" w:sz="0" w:space="0" w:color="auto"/>
                  </w:divBdr>
                </w:div>
              </w:divsChild>
            </w:div>
            <w:div w:id="482701980">
              <w:marLeft w:val="0"/>
              <w:marRight w:val="0"/>
              <w:marTop w:val="0"/>
              <w:marBottom w:val="0"/>
              <w:divBdr>
                <w:top w:val="none" w:sz="0" w:space="0" w:color="auto"/>
                <w:left w:val="none" w:sz="0" w:space="0" w:color="auto"/>
                <w:bottom w:val="none" w:sz="0" w:space="0" w:color="auto"/>
                <w:right w:val="none" w:sz="0" w:space="0" w:color="auto"/>
              </w:divBdr>
            </w:div>
            <w:div w:id="2041468470">
              <w:marLeft w:val="0"/>
              <w:marRight w:val="0"/>
              <w:marTop w:val="0"/>
              <w:marBottom w:val="0"/>
              <w:divBdr>
                <w:top w:val="none" w:sz="0" w:space="0" w:color="auto"/>
                <w:left w:val="none" w:sz="0" w:space="0" w:color="auto"/>
                <w:bottom w:val="none" w:sz="0" w:space="0" w:color="auto"/>
                <w:right w:val="none" w:sz="0" w:space="0" w:color="auto"/>
              </w:divBdr>
              <w:divsChild>
                <w:div w:id="2135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3078">
      <w:bodyDiv w:val="1"/>
      <w:marLeft w:val="0"/>
      <w:marRight w:val="0"/>
      <w:marTop w:val="0"/>
      <w:marBottom w:val="0"/>
      <w:divBdr>
        <w:top w:val="none" w:sz="0" w:space="0" w:color="auto"/>
        <w:left w:val="none" w:sz="0" w:space="0" w:color="auto"/>
        <w:bottom w:val="none" w:sz="0" w:space="0" w:color="auto"/>
        <w:right w:val="none" w:sz="0" w:space="0" w:color="auto"/>
      </w:divBdr>
    </w:div>
    <w:div w:id="1828785205">
      <w:bodyDiv w:val="1"/>
      <w:marLeft w:val="0"/>
      <w:marRight w:val="0"/>
      <w:marTop w:val="0"/>
      <w:marBottom w:val="0"/>
      <w:divBdr>
        <w:top w:val="none" w:sz="0" w:space="0" w:color="auto"/>
        <w:left w:val="none" w:sz="0" w:space="0" w:color="auto"/>
        <w:bottom w:val="none" w:sz="0" w:space="0" w:color="auto"/>
        <w:right w:val="none" w:sz="0" w:space="0" w:color="auto"/>
      </w:divBdr>
      <w:divsChild>
        <w:div w:id="548952152">
          <w:marLeft w:val="0"/>
          <w:marRight w:val="0"/>
          <w:marTop w:val="0"/>
          <w:marBottom w:val="0"/>
          <w:divBdr>
            <w:top w:val="none" w:sz="0" w:space="0" w:color="auto"/>
            <w:left w:val="none" w:sz="0" w:space="0" w:color="auto"/>
            <w:bottom w:val="none" w:sz="0" w:space="0" w:color="auto"/>
            <w:right w:val="none" w:sz="0" w:space="0" w:color="auto"/>
          </w:divBdr>
        </w:div>
        <w:div w:id="645623554">
          <w:marLeft w:val="0"/>
          <w:marRight w:val="0"/>
          <w:marTop w:val="0"/>
          <w:marBottom w:val="0"/>
          <w:divBdr>
            <w:top w:val="none" w:sz="0" w:space="0" w:color="auto"/>
            <w:left w:val="none" w:sz="0" w:space="0" w:color="auto"/>
            <w:bottom w:val="none" w:sz="0" w:space="0" w:color="auto"/>
            <w:right w:val="none" w:sz="0" w:space="0" w:color="auto"/>
          </w:divBdr>
          <w:divsChild>
            <w:div w:id="1007902007">
              <w:marLeft w:val="0"/>
              <w:marRight w:val="0"/>
              <w:marTop w:val="0"/>
              <w:marBottom w:val="0"/>
              <w:divBdr>
                <w:top w:val="none" w:sz="0" w:space="0" w:color="auto"/>
                <w:left w:val="none" w:sz="0" w:space="0" w:color="auto"/>
                <w:bottom w:val="none" w:sz="0" w:space="0" w:color="auto"/>
                <w:right w:val="none" w:sz="0" w:space="0" w:color="auto"/>
              </w:divBdr>
            </w:div>
          </w:divsChild>
        </w:div>
        <w:div w:id="655183620">
          <w:marLeft w:val="0"/>
          <w:marRight w:val="0"/>
          <w:marTop w:val="0"/>
          <w:marBottom w:val="0"/>
          <w:divBdr>
            <w:top w:val="none" w:sz="0" w:space="0" w:color="auto"/>
            <w:left w:val="none" w:sz="0" w:space="0" w:color="auto"/>
            <w:bottom w:val="none" w:sz="0" w:space="0" w:color="auto"/>
            <w:right w:val="none" w:sz="0" w:space="0" w:color="auto"/>
          </w:divBdr>
          <w:divsChild>
            <w:div w:id="12480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2364">
      <w:bodyDiv w:val="1"/>
      <w:marLeft w:val="0"/>
      <w:marRight w:val="0"/>
      <w:marTop w:val="0"/>
      <w:marBottom w:val="0"/>
      <w:divBdr>
        <w:top w:val="none" w:sz="0" w:space="0" w:color="auto"/>
        <w:left w:val="none" w:sz="0" w:space="0" w:color="auto"/>
        <w:bottom w:val="none" w:sz="0" w:space="0" w:color="auto"/>
        <w:right w:val="none" w:sz="0" w:space="0" w:color="auto"/>
      </w:divBdr>
      <w:divsChild>
        <w:div w:id="120614617">
          <w:marLeft w:val="0"/>
          <w:marRight w:val="0"/>
          <w:marTop w:val="0"/>
          <w:marBottom w:val="0"/>
          <w:divBdr>
            <w:top w:val="none" w:sz="0" w:space="0" w:color="auto"/>
            <w:left w:val="none" w:sz="0" w:space="0" w:color="auto"/>
            <w:bottom w:val="none" w:sz="0" w:space="0" w:color="auto"/>
            <w:right w:val="none" w:sz="0" w:space="0" w:color="auto"/>
          </w:divBdr>
          <w:divsChild>
            <w:div w:id="1018392921">
              <w:marLeft w:val="0"/>
              <w:marRight w:val="0"/>
              <w:marTop w:val="0"/>
              <w:marBottom w:val="0"/>
              <w:divBdr>
                <w:top w:val="none" w:sz="0" w:space="0" w:color="auto"/>
                <w:left w:val="none" w:sz="0" w:space="0" w:color="auto"/>
                <w:bottom w:val="none" w:sz="0" w:space="0" w:color="auto"/>
                <w:right w:val="none" w:sz="0" w:space="0" w:color="auto"/>
              </w:divBdr>
            </w:div>
          </w:divsChild>
        </w:div>
        <w:div w:id="349062924">
          <w:marLeft w:val="0"/>
          <w:marRight w:val="0"/>
          <w:marTop w:val="0"/>
          <w:marBottom w:val="0"/>
          <w:divBdr>
            <w:top w:val="none" w:sz="0" w:space="0" w:color="auto"/>
            <w:left w:val="none" w:sz="0" w:space="0" w:color="auto"/>
            <w:bottom w:val="none" w:sz="0" w:space="0" w:color="auto"/>
            <w:right w:val="none" w:sz="0" w:space="0" w:color="auto"/>
          </w:divBdr>
        </w:div>
        <w:div w:id="1157455005">
          <w:marLeft w:val="0"/>
          <w:marRight w:val="0"/>
          <w:marTop w:val="0"/>
          <w:marBottom w:val="0"/>
          <w:divBdr>
            <w:top w:val="none" w:sz="0" w:space="0" w:color="auto"/>
            <w:left w:val="none" w:sz="0" w:space="0" w:color="auto"/>
            <w:bottom w:val="none" w:sz="0" w:space="0" w:color="auto"/>
            <w:right w:val="none" w:sz="0" w:space="0" w:color="auto"/>
          </w:divBdr>
          <w:divsChild>
            <w:div w:id="556357123">
              <w:marLeft w:val="0"/>
              <w:marRight w:val="0"/>
              <w:marTop w:val="0"/>
              <w:marBottom w:val="0"/>
              <w:divBdr>
                <w:top w:val="none" w:sz="0" w:space="0" w:color="auto"/>
                <w:left w:val="none" w:sz="0" w:space="0" w:color="auto"/>
                <w:bottom w:val="none" w:sz="0" w:space="0" w:color="auto"/>
                <w:right w:val="none" w:sz="0" w:space="0" w:color="auto"/>
              </w:divBdr>
            </w:div>
            <w:div w:id="695735920">
              <w:marLeft w:val="0"/>
              <w:marRight w:val="0"/>
              <w:marTop w:val="0"/>
              <w:marBottom w:val="0"/>
              <w:divBdr>
                <w:top w:val="none" w:sz="0" w:space="0" w:color="auto"/>
                <w:left w:val="none" w:sz="0" w:space="0" w:color="auto"/>
                <w:bottom w:val="none" w:sz="0" w:space="0" w:color="auto"/>
                <w:right w:val="none" w:sz="0" w:space="0" w:color="auto"/>
              </w:divBdr>
              <w:divsChild>
                <w:div w:id="1963269193">
                  <w:marLeft w:val="0"/>
                  <w:marRight w:val="0"/>
                  <w:marTop w:val="0"/>
                  <w:marBottom w:val="0"/>
                  <w:divBdr>
                    <w:top w:val="none" w:sz="0" w:space="0" w:color="auto"/>
                    <w:left w:val="none" w:sz="0" w:space="0" w:color="auto"/>
                    <w:bottom w:val="none" w:sz="0" w:space="0" w:color="auto"/>
                    <w:right w:val="none" w:sz="0" w:space="0" w:color="auto"/>
                  </w:divBdr>
                </w:div>
              </w:divsChild>
            </w:div>
            <w:div w:id="957612812">
              <w:marLeft w:val="0"/>
              <w:marRight w:val="0"/>
              <w:marTop w:val="0"/>
              <w:marBottom w:val="0"/>
              <w:divBdr>
                <w:top w:val="none" w:sz="0" w:space="0" w:color="auto"/>
                <w:left w:val="none" w:sz="0" w:space="0" w:color="auto"/>
                <w:bottom w:val="none" w:sz="0" w:space="0" w:color="auto"/>
                <w:right w:val="none" w:sz="0" w:space="0" w:color="auto"/>
              </w:divBdr>
              <w:divsChild>
                <w:div w:id="13817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591">
          <w:marLeft w:val="0"/>
          <w:marRight w:val="0"/>
          <w:marTop w:val="0"/>
          <w:marBottom w:val="0"/>
          <w:divBdr>
            <w:top w:val="none" w:sz="0" w:space="0" w:color="auto"/>
            <w:left w:val="none" w:sz="0" w:space="0" w:color="auto"/>
            <w:bottom w:val="none" w:sz="0" w:space="0" w:color="auto"/>
            <w:right w:val="none" w:sz="0" w:space="0" w:color="auto"/>
          </w:divBdr>
          <w:divsChild>
            <w:div w:id="290597899">
              <w:marLeft w:val="0"/>
              <w:marRight w:val="0"/>
              <w:marTop w:val="0"/>
              <w:marBottom w:val="0"/>
              <w:divBdr>
                <w:top w:val="none" w:sz="0" w:space="0" w:color="auto"/>
                <w:left w:val="none" w:sz="0" w:space="0" w:color="auto"/>
                <w:bottom w:val="none" w:sz="0" w:space="0" w:color="auto"/>
                <w:right w:val="none" w:sz="0" w:space="0" w:color="auto"/>
              </w:divBdr>
            </w:div>
            <w:div w:id="649406524">
              <w:marLeft w:val="0"/>
              <w:marRight w:val="0"/>
              <w:marTop w:val="0"/>
              <w:marBottom w:val="0"/>
              <w:divBdr>
                <w:top w:val="none" w:sz="0" w:space="0" w:color="auto"/>
                <w:left w:val="none" w:sz="0" w:space="0" w:color="auto"/>
                <w:bottom w:val="none" w:sz="0" w:space="0" w:color="auto"/>
                <w:right w:val="none" w:sz="0" w:space="0" w:color="auto"/>
              </w:divBdr>
              <w:divsChild>
                <w:div w:id="901794712">
                  <w:marLeft w:val="0"/>
                  <w:marRight w:val="0"/>
                  <w:marTop w:val="0"/>
                  <w:marBottom w:val="0"/>
                  <w:divBdr>
                    <w:top w:val="none" w:sz="0" w:space="0" w:color="auto"/>
                    <w:left w:val="none" w:sz="0" w:space="0" w:color="auto"/>
                    <w:bottom w:val="none" w:sz="0" w:space="0" w:color="auto"/>
                    <w:right w:val="none" w:sz="0" w:space="0" w:color="auto"/>
                  </w:divBdr>
                </w:div>
              </w:divsChild>
            </w:div>
            <w:div w:id="832574995">
              <w:marLeft w:val="0"/>
              <w:marRight w:val="0"/>
              <w:marTop w:val="0"/>
              <w:marBottom w:val="0"/>
              <w:divBdr>
                <w:top w:val="none" w:sz="0" w:space="0" w:color="auto"/>
                <w:left w:val="none" w:sz="0" w:space="0" w:color="auto"/>
                <w:bottom w:val="none" w:sz="0" w:space="0" w:color="auto"/>
                <w:right w:val="none" w:sz="0" w:space="0" w:color="auto"/>
              </w:divBdr>
              <w:divsChild>
                <w:div w:id="3022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4587">
      <w:bodyDiv w:val="1"/>
      <w:marLeft w:val="0"/>
      <w:marRight w:val="0"/>
      <w:marTop w:val="0"/>
      <w:marBottom w:val="0"/>
      <w:divBdr>
        <w:top w:val="none" w:sz="0" w:space="0" w:color="auto"/>
        <w:left w:val="none" w:sz="0" w:space="0" w:color="auto"/>
        <w:bottom w:val="none" w:sz="0" w:space="0" w:color="auto"/>
        <w:right w:val="none" w:sz="0" w:space="0" w:color="auto"/>
      </w:divBdr>
      <w:divsChild>
        <w:div w:id="58553998">
          <w:marLeft w:val="0"/>
          <w:marRight w:val="0"/>
          <w:marTop w:val="0"/>
          <w:marBottom w:val="0"/>
          <w:divBdr>
            <w:top w:val="none" w:sz="0" w:space="0" w:color="auto"/>
            <w:left w:val="none" w:sz="0" w:space="0" w:color="auto"/>
            <w:bottom w:val="none" w:sz="0" w:space="0" w:color="auto"/>
            <w:right w:val="none" w:sz="0" w:space="0" w:color="auto"/>
          </w:divBdr>
          <w:divsChild>
            <w:div w:id="43068792">
              <w:marLeft w:val="0"/>
              <w:marRight w:val="0"/>
              <w:marTop w:val="0"/>
              <w:marBottom w:val="0"/>
              <w:divBdr>
                <w:top w:val="none" w:sz="0" w:space="0" w:color="auto"/>
                <w:left w:val="none" w:sz="0" w:space="0" w:color="auto"/>
                <w:bottom w:val="none" w:sz="0" w:space="0" w:color="auto"/>
                <w:right w:val="none" w:sz="0" w:space="0" w:color="auto"/>
              </w:divBdr>
              <w:divsChild>
                <w:div w:id="1311978119">
                  <w:marLeft w:val="0"/>
                  <w:marRight w:val="0"/>
                  <w:marTop w:val="0"/>
                  <w:marBottom w:val="0"/>
                  <w:divBdr>
                    <w:top w:val="none" w:sz="0" w:space="0" w:color="auto"/>
                    <w:left w:val="none" w:sz="0" w:space="0" w:color="auto"/>
                    <w:bottom w:val="none" w:sz="0" w:space="0" w:color="auto"/>
                    <w:right w:val="none" w:sz="0" w:space="0" w:color="auto"/>
                  </w:divBdr>
                </w:div>
              </w:divsChild>
            </w:div>
            <w:div w:id="643508690">
              <w:marLeft w:val="0"/>
              <w:marRight w:val="0"/>
              <w:marTop w:val="0"/>
              <w:marBottom w:val="0"/>
              <w:divBdr>
                <w:top w:val="none" w:sz="0" w:space="0" w:color="auto"/>
                <w:left w:val="none" w:sz="0" w:space="0" w:color="auto"/>
                <w:bottom w:val="none" w:sz="0" w:space="0" w:color="auto"/>
                <w:right w:val="none" w:sz="0" w:space="0" w:color="auto"/>
              </w:divBdr>
            </w:div>
            <w:div w:id="1052733391">
              <w:marLeft w:val="0"/>
              <w:marRight w:val="0"/>
              <w:marTop w:val="0"/>
              <w:marBottom w:val="0"/>
              <w:divBdr>
                <w:top w:val="none" w:sz="0" w:space="0" w:color="auto"/>
                <w:left w:val="none" w:sz="0" w:space="0" w:color="auto"/>
                <w:bottom w:val="none" w:sz="0" w:space="0" w:color="auto"/>
                <w:right w:val="none" w:sz="0" w:space="0" w:color="auto"/>
              </w:divBdr>
              <w:divsChild>
                <w:div w:id="860435815">
                  <w:marLeft w:val="0"/>
                  <w:marRight w:val="0"/>
                  <w:marTop w:val="0"/>
                  <w:marBottom w:val="0"/>
                  <w:divBdr>
                    <w:top w:val="none" w:sz="0" w:space="0" w:color="auto"/>
                    <w:left w:val="none" w:sz="0" w:space="0" w:color="auto"/>
                    <w:bottom w:val="none" w:sz="0" w:space="0" w:color="auto"/>
                    <w:right w:val="none" w:sz="0" w:space="0" w:color="auto"/>
                  </w:divBdr>
                  <w:divsChild>
                    <w:div w:id="1154030532">
                      <w:marLeft w:val="0"/>
                      <w:marRight w:val="0"/>
                      <w:marTop w:val="0"/>
                      <w:marBottom w:val="0"/>
                      <w:divBdr>
                        <w:top w:val="none" w:sz="0" w:space="0" w:color="auto"/>
                        <w:left w:val="none" w:sz="0" w:space="0" w:color="auto"/>
                        <w:bottom w:val="none" w:sz="0" w:space="0" w:color="auto"/>
                        <w:right w:val="none" w:sz="0" w:space="0" w:color="auto"/>
                      </w:divBdr>
                    </w:div>
                  </w:divsChild>
                </w:div>
                <w:div w:id="957227152">
                  <w:marLeft w:val="0"/>
                  <w:marRight w:val="0"/>
                  <w:marTop w:val="0"/>
                  <w:marBottom w:val="0"/>
                  <w:divBdr>
                    <w:top w:val="none" w:sz="0" w:space="0" w:color="auto"/>
                    <w:left w:val="none" w:sz="0" w:space="0" w:color="auto"/>
                    <w:bottom w:val="none" w:sz="0" w:space="0" w:color="auto"/>
                    <w:right w:val="none" w:sz="0" w:space="0" w:color="auto"/>
                  </w:divBdr>
                  <w:divsChild>
                    <w:div w:id="706953826">
                      <w:marLeft w:val="0"/>
                      <w:marRight w:val="0"/>
                      <w:marTop w:val="0"/>
                      <w:marBottom w:val="0"/>
                      <w:divBdr>
                        <w:top w:val="none" w:sz="0" w:space="0" w:color="auto"/>
                        <w:left w:val="none" w:sz="0" w:space="0" w:color="auto"/>
                        <w:bottom w:val="none" w:sz="0" w:space="0" w:color="auto"/>
                        <w:right w:val="none" w:sz="0" w:space="0" w:color="auto"/>
                      </w:divBdr>
                    </w:div>
                  </w:divsChild>
                </w:div>
                <w:div w:id="1531797782">
                  <w:marLeft w:val="0"/>
                  <w:marRight w:val="0"/>
                  <w:marTop w:val="0"/>
                  <w:marBottom w:val="0"/>
                  <w:divBdr>
                    <w:top w:val="none" w:sz="0" w:space="0" w:color="auto"/>
                    <w:left w:val="none" w:sz="0" w:space="0" w:color="auto"/>
                    <w:bottom w:val="none" w:sz="0" w:space="0" w:color="auto"/>
                    <w:right w:val="none" w:sz="0" w:space="0" w:color="auto"/>
                  </w:divBdr>
                </w:div>
              </w:divsChild>
            </w:div>
            <w:div w:id="1946495001">
              <w:marLeft w:val="0"/>
              <w:marRight w:val="0"/>
              <w:marTop w:val="0"/>
              <w:marBottom w:val="0"/>
              <w:divBdr>
                <w:top w:val="none" w:sz="0" w:space="0" w:color="auto"/>
                <w:left w:val="none" w:sz="0" w:space="0" w:color="auto"/>
                <w:bottom w:val="none" w:sz="0" w:space="0" w:color="auto"/>
                <w:right w:val="none" w:sz="0" w:space="0" w:color="auto"/>
              </w:divBdr>
              <w:divsChild>
                <w:div w:id="1632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141">
          <w:marLeft w:val="0"/>
          <w:marRight w:val="0"/>
          <w:marTop w:val="0"/>
          <w:marBottom w:val="0"/>
          <w:divBdr>
            <w:top w:val="none" w:sz="0" w:space="0" w:color="auto"/>
            <w:left w:val="none" w:sz="0" w:space="0" w:color="auto"/>
            <w:bottom w:val="none" w:sz="0" w:space="0" w:color="auto"/>
            <w:right w:val="none" w:sz="0" w:space="0" w:color="auto"/>
          </w:divBdr>
          <w:divsChild>
            <w:div w:id="1320422283">
              <w:marLeft w:val="0"/>
              <w:marRight w:val="0"/>
              <w:marTop w:val="0"/>
              <w:marBottom w:val="0"/>
              <w:divBdr>
                <w:top w:val="none" w:sz="0" w:space="0" w:color="auto"/>
                <w:left w:val="none" w:sz="0" w:space="0" w:color="auto"/>
                <w:bottom w:val="none" w:sz="0" w:space="0" w:color="auto"/>
                <w:right w:val="none" w:sz="0" w:space="0" w:color="auto"/>
              </w:divBdr>
            </w:div>
          </w:divsChild>
        </w:div>
        <w:div w:id="1599363579">
          <w:marLeft w:val="0"/>
          <w:marRight w:val="0"/>
          <w:marTop w:val="0"/>
          <w:marBottom w:val="0"/>
          <w:divBdr>
            <w:top w:val="none" w:sz="0" w:space="0" w:color="auto"/>
            <w:left w:val="none" w:sz="0" w:space="0" w:color="auto"/>
            <w:bottom w:val="none" w:sz="0" w:space="0" w:color="auto"/>
            <w:right w:val="none" w:sz="0" w:space="0" w:color="auto"/>
          </w:divBdr>
          <w:divsChild>
            <w:div w:id="14506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603">
      <w:bodyDiv w:val="1"/>
      <w:marLeft w:val="0"/>
      <w:marRight w:val="0"/>
      <w:marTop w:val="0"/>
      <w:marBottom w:val="0"/>
      <w:divBdr>
        <w:top w:val="none" w:sz="0" w:space="0" w:color="auto"/>
        <w:left w:val="none" w:sz="0" w:space="0" w:color="auto"/>
        <w:bottom w:val="none" w:sz="0" w:space="0" w:color="auto"/>
        <w:right w:val="none" w:sz="0" w:space="0" w:color="auto"/>
      </w:divBdr>
      <w:divsChild>
        <w:div w:id="1004012804">
          <w:marLeft w:val="0"/>
          <w:marRight w:val="0"/>
          <w:marTop w:val="0"/>
          <w:marBottom w:val="0"/>
          <w:divBdr>
            <w:top w:val="none" w:sz="0" w:space="0" w:color="auto"/>
            <w:left w:val="none" w:sz="0" w:space="0" w:color="auto"/>
            <w:bottom w:val="none" w:sz="0" w:space="0" w:color="auto"/>
            <w:right w:val="none" w:sz="0" w:space="0" w:color="auto"/>
          </w:divBdr>
        </w:div>
        <w:div w:id="1619530246">
          <w:marLeft w:val="0"/>
          <w:marRight w:val="0"/>
          <w:marTop w:val="0"/>
          <w:marBottom w:val="0"/>
          <w:divBdr>
            <w:top w:val="none" w:sz="0" w:space="0" w:color="auto"/>
            <w:left w:val="none" w:sz="0" w:space="0" w:color="auto"/>
            <w:bottom w:val="none" w:sz="0" w:space="0" w:color="auto"/>
            <w:right w:val="none" w:sz="0" w:space="0" w:color="auto"/>
          </w:divBdr>
          <w:divsChild>
            <w:div w:id="616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tlgpsregs.org/schemeregs/index.php" TargetMode="External"/><Relationship Id="rId18" Type="http://schemas.openxmlformats.org/officeDocument/2006/relationships/hyperlink" Target="http://www.scotlgpsreg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cotlgpsregs.org/resources/guidesetc.ph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cotlgpsreg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cotlgpsregs.org/resources/guidesetc.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lgpsreg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MeetingDate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F5DEB-AB8C-459A-A913-18F6E7629CFA}">
  <ds:schemaRefs>
    <ds:schemaRef ds:uri="http://schemas.openxmlformats.org/officeDocument/2006/bibliography"/>
  </ds:schemaRefs>
</ds:datastoreItem>
</file>

<file path=customXml/itemProps2.xml><?xml version="1.0" encoding="utf-8"?>
<ds:datastoreItem xmlns:ds="http://schemas.openxmlformats.org/officeDocument/2006/customXml" ds:itemID="{3A38680B-3154-4F84-BDC3-596575128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B692B-B68A-4FA1-9100-FD5ED5332C0F}">
  <ds:schemaRefs>
    <ds:schemaRef ds:uri="http://schemas.microsoft.com/office/infopath/2007/PartnerControls"/>
    <ds:schemaRef ds:uri="4c0fc6d1-1ff6-4501-9111-f8704c4ff172"/>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f892bc6d-4373-4448-9da1-3e4deb53465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FE5F749-54F9-4322-9E31-F37E820D7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9952</Words>
  <Characters>52348</Characters>
  <Application>Microsoft Office Word</Application>
  <DocSecurity>0</DocSecurity>
  <Lines>2617</Lines>
  <Paragraphs>1297</Paragraphs>
  <ScaleCrop>false</ScaleCrop>
  <HeadingPairs>
    <vt:vector size="2" baseType="variant">
      <vt:variant>
        <vt:lpstr>Title</vt:lpstr>
      </vt:variant>
      <vt:variant>
        <vt:i4>1</vt:i4>
      </vt:variant>
    </vt:vector>
  </HeadingPairs>
  <TitlesOfParts>
    <vt:vector size="1" baseType="lpstr">
      <vt:lpstr>LGPS AA Discretion List version 1</vt:lpstr>
    </vt:vector>
  </TitlesOfParts>
  <Company/>
  <LinksUpToDate>false</LinksUpToDate>
  <CharactersWithSpaces>61003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AA Discretion List version 2</dc:title>
  <dc:subject/>
  <dc:creator>Steven Moseley</dc:creator>
  <cp:keywords/>
  <dc:description/>
  <cp:lastModifiedBy>Steven Moseley</cp:lastModifiedBy>
  <cp:revision>2</cp:revision>
  <cp:lastPrinted>2025-02-19T17:01:00Z</cp:lastPrinted>
  <dcterms:created xsi:type="dcterms:W3CDTF">2025-05-12T10:12:00Z</dcterms:created>
  <dcterms:modified xsi:type="dcterms:W3CDTF">2025-05-12T10:12:00Z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