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4" w:type="dxa"/>
        <w:tblLayout w:type="fixed"/>
        <w:tblCellMar>
          <w:left w:w="0" w:type="dxa"/>
          <w:right w:w="0" w:type="dxa"/>
        </w:tblCellMar>
        <w:tblLook w:val="04A0" w:firstRow="1" w:lastRow="0" w:firstColumn="1" w:lastColumn="0" w:noHBand="0" w:noVBand="1"/>
      </w:tblPr>
      <w:tblGrid>
        <w:gridCol w:w="6804"/>
        <w:gridCol w:w="3400"/>
      </w:tblGrid>
      <w:tr w:rsidR="0045711F" w14:paraId="2FACB954" w14:textId="77777777" w:rsidTr="3DA8E6CB">
        <w:trPr>
          <w:trHeight w:val="3061"/>
        </w:trPr>
        <w:tc>
          <w:tcPr>
            <w:tcW w:w="6804" w:type="dxa"/>
            <w:vMerge w:val="restart"/>
          </w:tcPr>
          <w:p w14:paraId="3D360538" w14:textId="55ACD832" w:rsidR="00F201AF" w:rsidRDefault="1C195CD8" w:rsidP="00F201AF">
            <w:pPr>
              <w:pStyle w:val="NormalWeb"/>
            </w:pPr>
            <w:r>
              <w:rPr>
                <w:noProof/>
              </w:rPr>
              <w:drawing>
                <wp:inline distT="0" distB="0" distL="0" distR="0" wp14:anchorId="7C86FE91" wp14:editId="506922D3">
                  <wp:extent cx="2339340" cy="1529992"/>
                  <wp:effectExtent l="0" t="0" r="0" b="0"/>
                  <wp:docPr id="21088915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7370" cy="1535244"/>
                          </a:xfrm>
                          <a:prstGeom prst="rect">
                            <a:avLst/>
                          </a:prstGeom>
                          <a:noFill/>
                          <a:ln>
                            <a:noFill/>
                          </a:ln>
                        </pic:spPr>
                      </pic:pic>
                    </a:graphicData>
                  </a:graphic>
                </wp:inline>
              </w:drawing>
            </w:r>
          </w:p>
          <w:p w14:paraId="17B6B6B3" w14:textId="15A448A7" w:rsidR="3DA8E6CB" w:rsidRDefault="3DA8E6CB"/>
          <w:p w14:paraId="758AAC57" w14:textId="6A241847" w:rsidR="3DA8E6CB" w:rsidRDefault="3DA8E6CB"/>
          <w:p w14:paraId="2A1DB347" w14:textId="77777777" w:rsidR="0045711F" w:rsidRDefault="00C8794A" w:rsidP="0045711F">
            <w:r>
              <w:t>Dear Pension Manager,</w:t>
            </w:r>
          </w:p>
          <w:p w14:paraId="494D5C3D" w14:textId="0BFE94F7" w:rsidR="00C8794A" w:rsidRDefault="00C8794A" w:rsidP="0045711F"/>
        </w:tc>
        <w:tc>
          <w:tcPr>
            <w:tcW w:w="3400" w:type="dxa"/>
          </w:tcPr>
          <w:p w14:paraId="37D87829" w14:textId="0AC0CCA6" w:rsidR="0045711F" w:rsidRPr="0045711F" w:rsidRDefault="0032371C" w:rsidP="00154591">
            <w:pPr>
              <w:pStyle w:val="BodyText"/>
              <w:rPr>
                <w:b/>
                <w:bCs/>
                <w:sz w:val="22"/>
                <w:szCs w:val="22"/>
              </w:rPr>
            </w:pPr>
            <w:r>
              <w:rPr>
                <w:b/>
                <w:bCs/>
                <w:sz w:val="22"/>
                <w:szCs w:val="22"/>
              </w:rPr>
              <w:t>Will King</w:t>
            </w:r>
          </w:p>
          <w:p w14:paraId="74FDF435" w14:textId="622F4C7B" w:rsidR="0045711F" w:rsidRPr="00BD79B0" w:rsidRDefault="0032371C" w:rsidP="00154591">
            <w:pPr>
              <w:pStyle w:val="BodyText"/>
              <w:rPr>
                <w:i/>
                <w:iCs/>
                <w:sz w:val="22"/>
                <w:szCs w:val="22"/>
              </w:rPr>
            </w:pPr>
            <w:r>
              <w:rPr>
                <w:i/>
                <w:iCs/>
                <w:sz w:val="22"/>
                <w:szCs w:val="22"/>
              </w:rPr>
              <w:t>Joint Head of Pensions</w:t>
            </w:r>
            <w:r w:rsidR="0045711F">
              <w:rPr>
                <w:i/>
                <w:iCs/>
                <w:sz w:val="22"/>
                <w:szCs w:val="22"/>
              </w:rPr>
              <w:br/>
            </w:r>
          </w:p>
          <w:p w14:paraId="4D8E83EC" w14:textId="5A166585" w:rsidR="0045711F" w:rsidRPr="0045711F" w:rsidRDefault="006A288F" w:rsidP="00154591">
            <w:pPr>
              <w:pStyle w:val="BodyText"/>
              <w:rPr>
                <w:b/>
                <w:bCs/>
                <w:i/>
                <w:iCs/>
                <w:sz w:val="22"/>
                <w:szCs w:val="22"/>
              </w:rPr>
            </w:pPr>
            <w:r>
              <w:rPr>
                <w:b/>
                <w:bCs/>
                <w:i/>
                <w:iCs/>
                <w:sz w:val="22"/>
                <w:szCs w:val="22"/>
              </w:rPr>
              <w:t>Ministry of Housing,</w:t>
            </w:r>
            <w:r>
              <w:rPr>
                <w:b/>
                <w:bCs/>
                <w:i/>
                <w:iCs/>
                <w:sz w:val="22"/>
                <w:szCs w:val="22"/>
              </w:rPr>
              <w:br/>
              <w:t>Communities &amp;</w:t>
            </w:r>
            <w:r>
              <w:rPr>
                <w:b/>
                <w:bCs/>
                <w:i/>
                <w:iCs/>
                <w:sz w:val="22"/>
                <w:szCs w:val="22"/>
              </w:rPr>
              <w:br/>
              <w:t>Local Government</w:t>
            </w:r>
          </w:p>
          <w:p w14:paraId="6F67D983" w14:textId="77777777" w:rsidR="0045711F" w:rsidRPr="0045711F" w:rsidRDefault="0045711F" w:rsidP="00154591">
            <w:pPr>
              <w:pStyle w:val="BodyText"/>
              <w:rPr>
                <w:sz w:val="22"/>
                <w:szCs w:val="22"/>
              </w:rPr>
            </w:pPr>
            <w:r w:rsidRPr="0045711F">
              <w:rPr>
                <w:sz w:val="22"/>
                <w:szCs w:val="22"/>
              </w:rPr>
              <w:t>4th Floor, Fry Building</w:t>
            </w:r>
          </w:p>
          <w:p w14:paraId="7E105C30" w14:textId="77777777" w:rsidR="0045711F" w:rsidRPr="0045711F" w:rsidRDefault="0045711F" w:rsidP="00154591">
            <w:pPr>
              <w:pStyle w:val="BodyText"/>
              <w:rPr>
                <w:sz w:val="22"/>
                <w:szCs w:val="22"/>
              </w:rPr>
            </w:pPr>
            <w:r w:rsidRPr="0045711F">
              <w:rPr>
                <w:sz w:val="22"/>
                <w:szCs w:val="22"/>
              </w:rPr>
              <w:t>2 Marsham Street</w:t>
            </w:r>
          </w:p>
          <w:p w14:paraId="54ADA954" w14:textId="77777777" w:rsidR="0045711F" w:rsidRPr="0045711F" w:rsidRDefault="0045711F" w:rsidP="00154591">
            <w:pPr>
              <w:pStyle w:val="BodyText"/>
              <w:rPr>
                <w:sz w:val="22"/>
                <w:szCs w:val="22"/>
              </w:rPr>
            </w:pPr>
            <w:r w:rsidRPr="0045711F">
              <w:rPr>
                <w:sz w:val="22"/>
                <w:szCs w:val="22"/>
              </w:rPr>
              <w:t>London SW1P 4DF</w:t>
            </w:r>
          </w:p>
          <w:p w14:paraId="2545DA27" w14:textId="77777777" w:rsidR="0045711F" w:rsidRPr="0045711F" w:rsidRDefault="0045711F" w:rsidP="00154591">
            <w:pPr>
              <w:pStyle w:val="BodyText"/>
              <w:rPr>
                <w:sz w:val="22"/>
                <w:szCs w:val="22"/>
              </w:rPr>
            </w:pPr>
          </w:p>
          <w:p w14:paraId="03CECD75" w14:textId="5CCEF863" w:rsidR="0045711F" w:rsidRPr="0045711F" w:rsidRDefault="00A8429C" w:rsidP="00154591">
            <w:pPr>
              <w:pStyle w:val="BodyText"/>
              <w:rPr>
                <w:b/>
                <w:bCs/>
                <w:sz w:val="22"/>
                <w:szCs w:val="22"/>
              </w:rPr>
            </w:pPr>
            <w:hyperlink r:id="rId12" w:history="1">
              <w:r w:rsidRPr="00A8429C">
                <w:rPr>
                  <w:rStyle w:val="Hyperlink"/>
                  <w:b/>
                  <w:bCs/>
                  <w:color w:val="000000" w:themeColor="text1"/>
                  <w:sz w:val="22"/>
                  <w:szCs w:val="22"/>
                </w:rPr>
                <w:t>www.gov.uk/mhclg</w:t>
              </w:r>
              <w:r w:rsidRPr="009F2172">
                <w:rPr>
                  <w:rStyle w:val="Hyperlink"/>
                  <w:b/>
                  <w:bCs/>
                  <w:sz w:val="22"/>
                  <w:szCs w:val="22"/>
                </w:rPr>
                <w:t xml:space="preserve"> </w:t>
              </w:r>
            </w:hyperlink>
          </w:p>
        </w:tc>
      </w:tr>
      <w:tr w:rsidR="0045711F" w14:paraId="750378B2" w14:textId="77777777" w:rsidTr="3DA8E6CB">
        <w:tc>
          <w:tcPr>
            <w:tcW w:w="6804" w:type="dxa"/>
            <w:vMerge/>
          </w:tcPr>
          <w:p w14:paraId="104E8B5C" w14:textId="77777777" w:rsidR="0045711F" w:rsidRPr="002240DD" w:rsidRDefault="0045711F" w:rsidP="00530ABD">
            <w:pPr>
              <w:pStyle w:val="BodyText"/>
            </w:pPr>
          </w:p>
        </w:tc>
        <w:tc>
          <w:tcPr>
            <w:tcW w:w="3400" w:type="dxa"/>
            <w:vAlign w:val="center"/>
          </w:tcPr>
          <w:p w14:paraId="4101A89C" w14:textId="77777777" w:rsidR="0045711F" w:rsidRPr="00247B45" w:rsidRDefault="0045711F" w:rsidP="00154591">
            <w:pPr>
              <w:pStyle w:val="BodyText"/>
              <w:rPr>
                <w:sz w:val="22"/>
                <w:szCs w:val="22"/>
              </w:rPr>
            </w:pPr>
          </w:p>
          <w:p w14:paraId="77FF4BB0" w14:textId="77777777" w:rsidR="00C8794A" w:rsidRPr="00247B45" w:rsidRDefault="00C8794A" w:rsidP="00154591">
            <w:pPr>
              <w:pStyle w:val="BodyText"/>
              <w:rPr>
                <w:sz w:val="22"/>
                <w:szCs w:val="22"/>
              </w:rPr>
            </w:pPr>
          </w:p>
          <w:p w14:paraId="76BBE1E5" w14:textId="77777777" w:rsidR="00C8794A" w:rsidRPr="00247B45" w:rsidRDefault="00C8794A" w:rsidP="00154591">
            <w:pPr>
              <w:pStyle w:val="BodyText"/>
              <w:rPr>
                <w:sz w:val="22"/>
                <w:szCs w:val="22"/>
              </w:rPr>
            </w:pPr>
          </w:p>
          <w:p w14:paraId="0F231603" w14:textId="6EBDB7C1" w:rsidR="00C8794A" w:rsidRPr="00154591" w:rsidRDefault="00C8794A" w:rsidP="3DA8E6CB">
            <w:pPr>
              <w:pStyle w:val="BodyText"/>
              <w:rPr>
                <w:sz w:val="22"/>
                <w:szCs w:val="22"/>
              </w:rPr>
            </w:pPr>
          </w:p>
          <w:p w14:paraId="77AE4E6C" w14:textId="1ADCC51E" w:rsidR="0045711F" w:rsidRPr="0045711F" w:rsidRDefault="00A27586" w:rsidP="0045711F">
            <w:pPr>
              <w:pStyle w:val="BodyText"/>
              <w:jc w:val="right"/>
            </w:pPr>
            <w:r w:rsidRPr="00A27586">
              <w:t>09</w:t>
            </w:r>
            <w:r w:rsidR="00823FDD" w:rsidRPr="00A27586">
              <w:t xml:space="preserve"> </w:t>
            </w:r>
            <w:r w:rsidR="00C8794A" w:rsidRPr="00A27586">
              <w:t>June</w:t>
            </w:r>
            <w:r w:rsidR="0045711F" w:rsidRPr="00A27586">
              <w:t xml:space="preserve"> </w:t>
            </w:r>
            <w:r w:rsidR="0045711F">
              <w:t>202</w:t>
            </w:r>
            <w:r w:rsidR="00C8794A">
              <w:t>6</w:t>
            </w:r>
          </w:p>
        </w:tc>
      </w:tr>
    </w:tbl>
    <w:p w14:paraId="543B7C9F" w14:textId="77777777" w:rsidR="004857A7" w:rsidRDefault="004857A7" w:rsidP="00C8794A">
      <w:pPr>
        <w:pStyle w:val="BodyText"/>
        <w:rPr>
          <w:b/>
          <w:bCs/>
        </w:rPr>
      </w:pPr>
    </w:p>
    <w:p w14:paraId="213A416C" w14:textId="5252F986" w:rsidR="00F62F27" w:rsidRPr="00C8794A" w:rsidRDefault="00C8794A" w:rsidP="00C8794A">
      <w:pPr>
        <w:pStyle w:val="BodyText"/>
        <w:rPr>
          <w:b/>
          <w:bCs/>
        </w:rPr>
      </w:pPr>
      <w:r w:rsidRPr="00C8794A">
        <w:rPr>
          <w:b/>
          <w:bCs/>
        </w:rPr>
        <w:t>Local Government Pension Scheme: Revised Actuarial Factors</w:t>
      </w:r>
    </w:p>
    <w:p w14:paraId="52EC9058" w14:textId="77777777" w:rsidR="00FE23DE" w:rsidRDefault="00FE23DE" w:rsidP="00530ABD">
      <w:pPr>
        <w:pStyle w:val="BodyText"/>
      </w:pPr>
    </w:p>
    <w:p w14:paraId="38149B4A" w14:textId="7E52BB44" w:rsidR="00324CEF" w:rsidRDefault="00C8794A" w:rsidP="00C8794A">
      <w:pPr>
        <w:pStyle w:val="BodyText"/>
        <w:numPr>
          <w:ilvl w:val="0"/>
          <w:numId w:val="11"/>
        </w:numPr>
        <w:spacing w:after="240"/>
      </w:pPr>
      <w:r>
        <w:t xml:space="preserve">Regulation 2(3) of the Local Government Pension Scheme Regulations 2013 provides that the Secretary of State may, after consultation with the Government Actuary’s Department, issue actuarial factors and guidance to administering authorities. </w:t>
      </w:r>
    </w:p>
    <w:p w14:paraId="0D469F04" w14:textId="5A2C9A3E" w:rsidR="14E42127" w:rsidRDefault="14E42127" w:rsidP="3DA8E6CB">
      <w:pPr>
        <w:pStyle w:val="BodyText"/>
        <w:numPr>
          <w:ilvl w:val="0"/>
          <w:numId w:val="11"/>
        </w:numPr>
        <w:spacing w:after="240"/>
      </w:pPr>
      <w:r>
        <w:t xml:space="preserve">On 19 May 2026, the Minister for Pensions (Torsten Bell MP) made a written ministerial statement confirming that the SCAPE discount rate has been adjusted to </w:t>
      </w:r>
      <w:proofErr w:type="gramStart"/>
      <w:r>
        <w:t>take into account</w:t>
      </w:r>
      <w:proofErr w:type="gramEnd"/>
      <w:r>
        <w:t xml:space="preserve"> the </w:t>
      </w:r>
      <w:proofErr w:type="gramStart"/>
      <w:r>
        <w:t>long term</w:t>
      </w:r>
      <w:proofErr w:type="gramEnd"/>
      <w:r>
        <w:t xml:space="preserve"> GDP growth figures published by the OBR in July 2025. Based on these figures, the new SCAPE discount rate is CPI plus 2%. This is a change from CPI plus 1.7%.</w:t>
      </w:r>
    </w:p>
    <w:p w14:paraId="13ABD2B8" w14:textId="77FEDB11" w:rsidR="00C8794A" w:rsidRDefault="00C8794A" w:rsidP="00C8794A">
      <w:pPr>
        <w:pStyle w:val="BodyText"/>
        <w:numPr>
          <w:ilvl w:val="0"/>
          <w:numId w:val="11"/>
        </w:numPr>
        <w:spacing w:after="240"/>
      </w:pPr>
      <w:r>
        <w:t xml:space="preserve">The new rate is effective from </w:t>
      </w:r>
      <w:r w:rsidR="00324CEF">
        <w:t>19</w:t>
      </w:r>
      <w:r>
        <w:t xml:space="preserve"> </w:t>
      </w:r>
      <w:r w:rsidR="00324CEF">
        <w:t>May 2026</w:t>
      </w:r>
      <w:r>
        <w:t xml:space="preserve"> and means that </w:t>
      </w:r>
      <w:r w:rsidRPr="005A4B58">
        <w:t xml:space="preserve">some calculations have been suspended </w:t>
      </w:r>
      <w:r>
        <w:t xml:space="preserve">until all factors have been updated. Guidance on the calculations which have been suspended and those which should continue </w:t>
      </w:r>
      <w:r w:rsidR="69E96579">
        <w:t xml:space="preserve">can be found at </w:t>
      </w:r>
      <w:hyperlink r:id="rId13" w:history="1">
        <w:r w:rsidR="002E6DC6" w:rsidRPr="00392DDB">
          <w:rPr>
            <w:rStyle w:val="Hyperlink"/>
          </w:rPr>
          <w:t>https://lgpslibrary.org</w:t>
        </w:r>
        <w:r w:rsidR="002E6DC6" w:rsidRPr="00392DDB">
          <w:rPr>
            <w:rStyle w:val="Hyperlink"/>
          </w:rPr>
          <w:t>/</w:t>
        </w:r>
        <w:r w:rsidR="002E6DC6" w:rsidRPr="00392DDB">
          <w:rPr>
            <w:rStyle w:val="Hyperlink"/>
          </w:rPr>
          <w:t>assets/actgui/ew/EW_transitionarrangements%20May%202026%20v2.0.pdf</w:t>
        </w:r>
      </w:hyperlink>
      <w:r w:rsidR="00913D3E">
        <w:t>.</w:t>
      </w:r>
    </w:p>
    <w:p w14:paraId="39532F51" w14:textId="58171DD9" w:rsidR="00C8794A" w:rsidRDefault="00C8794A" w:rsidP="00C8794A">
      <w:pPr>
        <w:pStyle w:val="BodyText"/>
        <w:numPr>
          <w:ilvl w:val="0"/>
          <w:numId w:val="11"/>
        </w:numPr>
        <w:spacing w:after="240"/>
      </w:pPr>
      <w:r>
        <w:t>We are now issuing the first batch of updated factors, as set out below</w:t>
      </w:r>
      <w:r w:rsidR="00406F8B">
        <w:t xml:space="preserve"> (with the </w:t>
      </w:r>
      <w:r w:rsidR="001A4789">
        <w:t>relevant in effect dates)</w:t>
      </w:r>
      <w:r>
        <w:t xml:space="preserve">, following consultation with the Government Actuary’s Department: </w:t>
      </w:r>
    </w:p>
    <w:p w14:paraId="571BC7BB" w14:textId="0932B225" w:rsidR="00C8794A" w:rsidRDefault="00C8794A" w:rsidP="00C8794A">
      <w:pPr>
        <w:pStyle w:val="BodyText"/>
        <w:numPr>
          <w:ilvl w:val="1"/>
          <w:numId w:val="11"/>
        </w:numPr>
        <w:spacing w:after="240"/>
      </w:pPr>
      <w:r w:rsidRPr="00C8794A">
        <w:t>Cash equivalent transfer values (CETVs)</w:t>
      </w:r>
      <w:r w:rsidR="001A4789">
        <w:t xml:space="preserve"> – In effect: </w:t>
      </w:r>
      <w:r w:rsidR="00EE0DB1">
        <w:t>19 May 2026</w:t>
      </w:r>
    </w:p>
    <w:p w14:paraId="2F5065AA" w14:textId="6AEEC09F" w:rsidR="00C8794A" w:rsidRDefault="00C8794A" w:rsidP="00C8794A">
      <w:pPr>
        <w:pStyle w:val="BodyText"/>
        <w:numPr>
          <w:ilvl w:val="1"/>
          <w:numId w:val="11"/>
        </w:numPr>
        <w:spacing w:after="240"/>
      </w:pPr>
      <w:r w:rsidRPr="00C8794A">
        <w:t>Pension cash equivalents</w:t>
      </w:r>
      <w:r w:rsidR="00EE0DB1">
        <w:t xml:space="preserve"> – In effect: 19 May 2026</w:t>
      </w:r>
    </w:p>
    <w:p w14:paraId="580F057B" w14:textId="5C8E6F30" w:rsidR="00C8794A" w:rsidRDefault="00C8794A" w:rsidP="00C8794A">
      <w:pPr>
        <w:pStyle w:val="BodyText"/>
        <w:numPr>
          <w:ilvl w:val="1"/>
          <w:numId w:val="11"/>
        </w:numPr>
        <w:spacing w:after="240"/>
      </w:pPr>
      <w:r w:rsidRPr="00C8794A">
        <w:t>Pension credits</w:t>
      </w:r>
      <w:r w:rsidR="00EE0DB1">
        <w:t xml:space="preserve"> – In effect: 19 May 2026</w:t>
      </w:r>
    </w:p>
    <w:p w14:paraId="5552F74E" w14:textId="4CF2C332" w:rsidR="00EF4C5A" w:rsidRDefault="00C856B3" w:rsidP="005A4B58">
      <w:pPr>
        <w:pStyle w:val="BodyText"/>
        <w:numPr>
          <w:ilvl w:val="1"/>
          <w:numId w:val="11"/>
        </w:numPr>
        <w:spacing w:after="240"/>
      </w:pPr>
      <w:r>
        <w:t>Interfund transfers</w:t>
      </w:r>
      <w:r w:rsidR="00DD0F68">
        <w:t>/intrafund adjustment</w:t>
      </w:r>
      <w:r>
        <w:t xml:space="preserve"> </w:t>
      </w:r>
      <w:r w:rsidR="00595463">
        <w:t>(</w:t>
      </w:r>
      <w:r w:rsidR="00C84E0B">
        <w:t>where</w:t>
      </w:r>
      <w:r w:rsidR="003F5D0D">
        <w:t xml:space="preserve"> </w:t>
      </w:r>
      <w:r w:rsidR="00FA3202">
        <w:t>the</w:t>
      </w:r>
      <w:r w:rsidR="00C84E0B">
        <w:t xml:space="preserve"> transfer value of final salary benefits </w:t>
      </w:r>
      <w:r w:rsidR="00C84E0B">
        <w:rPr>
          <w:b/>
          <w:bCs/>
        </w:rPr>
        <w:t xml:space="preserve">will not be used </w:t>
      </w:r>
      <w:r w:rsidR="00C84E0B">
        <w:t xml:space="preserve">to buy earned pension </w:t>
      </w:r>
      <w:r w:rsidR="0073790D" w:rsidRPr="0073790D">
        <w:t>in accordance with regulations 10(4), 10(5) or 10(6) of the 2014 Scheme transitional regulations</w:t>
      </w:r>
      <w:r w:rsidR="0073790D">
        <w:t>)</w:t>
      </w:r>
      <w:r w:rsidR="00AF68E9">
        <w:t xml:space="preserve"> – In effect: 10 June 2026</w:t>
      </w:r>
    </w:p>
    <w:p w14:paraId="2FDCF019" w14:textId="3029F96F" w:rsidR="0045711F" w:rsidRDefault="00C8794A" w:rsidP="0032371C">
      <w:pPr>
        <w:pStyle w:val="BodyText"/>
        <w:numPr>
          <w:ilvl w:val="0"/>
          <w:numId w:val="11"/>
        </w:numPr>
        <w:spacing w:after="240"/>
      </w:pPr>
      <w:r w:rsidRPr="00C8794A">
        <w:t>Over the coming months, we expect to issue updated factors for the remaining calculations.</w:t>
      </w:r>
      <w:r w:rsidR="00324CEF">
        <w:t xml:space="preserve"> </w:t>
      </w:r>
      <w:r w:rsidRPr="00C8794A">
        <w:t>These will also be communicated via the LGA and made available on their website.</w:t>
      </w:r>
    </w:p>
    <w:p w14:paraId="49F3CE8A" w14:textId="77777777" w:rsidR="0045711F" w:rsidRDefault="0045711F" w:rsidP="00530ABD">
      <w:pPr>
        <w:pStyle w:val="BodyText"/>
      </w:pPr>
    </w:p>
    <w:p w14:paraId="0DF7E17A" w14:textId="38C1D6F3" w:rsidR="0045711F" w:rsidRDefault="0045711F" w:rsidP="0045711F">
      <w:pPr>
        <w:pStyle w:val="BodyText"/>
        <w:jc w:val="center"/>
      </w:pPr>
      <w:r w:rsidRPr="0045711F">
        <w:rPr>
          <w:b/>
          <w:bCs/>
        </w:rPr>
        <w:t>Yours faithfully,</w:t>
      </w:r>
    </w:p>
    <w:p w14:paraId="7991B2E0" w14:textId="77777777" w:rsidR="0045711F" w:rsidRDefault="0045711F" w:rsidP="0045711F">
      <w:pPr>
        <w:pStyle w:val="BodyText"/>
        <w:jc w:val="center"/>
      </w:pPr>
    </w:p>
    <w:p w14:paraId="658825FF" w14:textId="0A17E8D8" w:rsidR="0045711F" w:rsidRPr="0045711F" w:rsidRDefault="00247B45" w:rsidP="0045711F">
      <w:pPr>
        <w:pStyle w:val="BodyText"/>
        <w:jc w:val="center"/>
        <w:rPr>
          <w:b/>
          <w:bCs/>
        </w:rPr>
      </w:pPr>
      <w:r>
        <w:rPr>
          <w:b/>
          <w:bCs/>
        </w:rPr>
        <w:t>Will King</w:t>
      </w:r>
    </w:p>
    <w:p w14:paraId="332693C2" w14:textId="3E790581" w:rsidR="0045711F" w:rsidRPr="0045711F" w:rsidRDefault="0032371C" w:rsidP="0045711F">
      <w:pPr>
        <w:pStyle w:val="BodyText"/>
        <w:jc w:val="center"/>
        <w:rPr>
          <w:b/>
          <w:bCs/>
        </w:rPr>
      </w:pPr>
      <w:r>
        <w:rPr>
          <w:b/>
          <w:bCs/>
        </w:rPr>
        <w:t>Joint Head of Pensions</w:t>
      </w:r>
    </w:p>
    <w:sectPr w:rsidR="0045711F" w:rsidRPr="0045711F" w:rsidSect="00936C4A">
      <w:headerReference w:type="even" r:id="rId14"/>
      <w:headerReference w:type="default" r:id="rId15"/>
      <w:footerReference w:type="even" r:id="rId16"/>
      <w:footerReference w:type="default" r:id="rId17"/>
      <w:headerReference w:type="first" r:id="rId18"/>
      <w:footerReference w:type="first" r:id="rId19"/>
      <w:pgSz w:w="11906" w:h="16838" w:code="9"/>
      <w:pgMar w:top="709" w:right="709" w:bottom="851" w:left="70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980E" w14:textId="77777777" w:rsidR="00797903" w:rsidRDefault="00797903" w:rsidP="00056850">
      <w:r>
        <w:separator/>
      </w:r>
    </w:p>
  </w:endnote>
  <w:endnote w:type="continuationSeparator" w:id="0">
    <w:p w14:paraId="07A09088" w14:textId="77777777" w:rsidR="00797903" w:rsidRDefault="00797903" w:rsidP="0005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8746" w14:textId="19CAEF85" w:rsidR="00E9031A" w:rsidRDefault="00E9031A">
    <w:pPr>
      <w:pStyle w:val="Footer"/>
    </w:pPr>
    <w:r>
      <w:rPr>
        <w:noProof/>
      </w:rPr>
      <mc:AlternateContent>
        <mc:Choice Requires="wps">
          <w:drawing>
            <wp:anchor distT="0" distB="0" distL="0" distR="0" simplePos="0" relativeHeight="251658244" behindDoc="0" locked="0" layoutInCell="1" allowOverlap="1" wp14:anchorId="19537D43" wp14:editId="4185CD33">
              <wp:simplePos x="635" y="635"/>
              <wp:positionH relativeFrom="page">
                <wp:align>center</wp:align>
              </wp:positionH>
              <wp:positionV relativeFrom="page">
                <wp:align>bottom</wp:align>
              </wp:positionV>
              <wp:extent cx="459740" cy="345440"/>
              <wp:effectExtent l="0" t="0" r="16510" b="0"/>
              <wp:wrapNone/>
              <wp:docPr id="1510595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40D827A" w14:textId="55536620" w:rsidR="00E9031A" w:rsidRPr="00E9031A" w:rsidRDefault="00E9031A" w:rsidP="00E9031A">
                          <w:pPr>
                            <w:rPr>
                              <w:rFonts w:ascii="Calibri" w:eastAsia="Calibri" w:hAnsi="Calibri" w:cs="Calibri"/>
                              <w:noProof/>
                              <w:color w:val="000000"/>
                              <w:sz w:val="20"/>
                              <w:szCs w:val="20"/>
                            </w:rPr>
                          </w:pPr>
                          <w:r w:rsidRPr="00E9031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9537D43" id="_x0000_t202" coordsize="21600,21600" o:spt="202" path="m,l,21600r21600,l21600,xe">
              <v:stroke joinstyle="miter"/>
              <v:path gradientshapeok="t" o:connecttype="rect"/>
            </v:shapetype>
            <v:shape id="Text Box 5" o:spid="_x0000_s1028" type="#_x0000_t202" alt="OFFICIAL" style="position:absolute;left:0;text-align:left;margin-left:0;margin-top:0;width:36.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40D827A" w14:textId="55536620" w:rsidR="00E9031A" w:rsidRPr="00E9031A" w:rsidRDefault="00E9031A" w:rsidP="00E9031A">
                    <w:pPr>
                      <w:rPr>
                        <w:rFonts w:ascii="Calibri" w:eastAsia="Calibri" w:hAnsi="Calibri" w:cs="Calibri"/>
                        <w:noProof/>
                        <w:color w:val="000000"/>
                        <w:sz w:val="20"/>
                        <w:szCs w:val="20"/>
                      </w:rPr>
                    </w:pPr>
                    <w:r w:rsidRPr="00E9031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3C3E" w14:textId="278B3B23" w:rsidR="00154591" w:rsidRPr="00154591" w:rsidRDefault="00E9031A" w:rsidP="00154591">
    <w:pPr>
      <w:pStyle w:val="Footer"/>
    </w:pPr>
    <w:r>
      <w:rPr>
        <w:noProof/>
      </w:rPr>
      <mc:AlternateContent>
        <mc:Choice Requires="wps">
          <w:drawing>
            <wp:anchor distT="0" distB="0" distL="0" distR="0" simplePos="0" relativeHeight="251658245" behindDoc="0" locked="0" layoutInCell="1" allowOverlap="1" wp14:anchorId="2368683C" wp14:editId="62BCC62D">
              <wp:simplePos x="635" y="635"/>
              <wp:positionH relativeFrom="page">
                <wp:align>center</wp:align>
              </wp:positionH>
              <wp:positionV relativeFrom="page">
                <wp:align>bottom</wp:align>
              </wp:positionV>
              <wp:extent cx="459740" cy="345440"/>
              <wp:effectExtent l="0" t="0" r="16510" b="0"/>
              <wp:wrapNone/>
              <wp:docPr id="4639600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08DDCB2" w14:textId="4D585342" w:rsidR="00E9031A" w:rsidRPr="00E9031A" w:rsidRDefault="00E9031A" w:rsidP="00E9031A">
                          <w:pPr>
                            <w:rPr>
                              <w:rFonts w:ascii="Calibri" w:eastAsia="Calibri" w:hAnsi="Calibri" w:cs="Calibri"/>
                              <w:noProof/>
                              <w:color w:val="000000"/>
                              <w:sz w:val="20"/>
                              <w:szCs w:val="20"/>
                            </w:rPr>
                          </w:pPr>
                          <w:r w:rsidRPr="00E9031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368683C" id="_x0000_t202" coordsize="21600,21600" o:spt="202" path="m,l,21600r21600,l21600,xe">
              <v:stroke joinstyle="miter"/>
              <v:path gradientshapeok="t" o:connecttype="rect"/>
            </v:shapetype>
            <v:shape id="Text Box 6" o:spid="_x0000_s1029" type="#_x0000_t202" alt="OFFICIAL" style="position:absolute;left:0;text-align:left;margin-left:0;margin-top:0;width:36.2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308DDCB2" w14:textId="4D585342" w:rsidR="00E9031A" w:rsidRPr="00E9031A" w:rsidRDefault="00E9031A" w:rsidP="00E9031A">
                    <w:pPr>
                      <w:rPr>
                        <w:rFonts w:ascii="Calibri" w:eastAsia="Calibri" w:hAnsi="Calibri" w:cs="Calibri"/>
                        <w:noProof/>
                        <w:color w:val="000000"/>
                        <w:sz w:val="20"/>
                        <w:szCs w:val="20"/>
                      </w:rPr>
                    </w:pPr>
                    <w:r w:rsidRPr="00E9031A">
                      <w:rPr>
                        <w:rFonts w:ascii="Calibri" w:eastAsia="Calibri" w:hAnsi="Calibri" w:cs="Calibri"/>
                        <w:noProof/>
                        <w:color w:val="000000"/>
                        <w:sz w:val="20"/>
                        <w:szCs w:val="20"/>
                      </w:rPr>
                      <w:t>OFFICIAL</w:t>
                    </w:r>
                  </w:p>
                </w:txbxContent>
              </v:textbox>
              <w10:wrap anchorx="page" anchory="page"/>
            </v:shape>
          </w:pict>
        </mc:Fallback>
      </mc:AlternateContent>
    </w:r>
    <w:r w:rsidR="00154591">
      <w:fldChar w:fldCharType="begin"/>
    </w:r>
    <w:r w:rsidR="00154591">
      <w:instrText xml:space="preserve"> PAGE   \* MERGEFORMAT </w:instrText>
    </w:r>
    <w:r w:rsidR="00154591">
      <w:fldChar w:fldCharType="separate"/>
    </w:r>
    <w:r w:rsidR="00154591">
      <w:rPr>
        <w:noProof/>
      </w:rPr>
      <w:t>1</w:t>
    </w:r>
    <w:r w:rsidR="0015459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E255" w14:textId="5BB801CB" w:rsidR="00E9031A" w:rsidRDefault="00E9031A">
    <w:pPr>
      <w:pStyle w:val="Footer"/>
    </w:pPr>
    <w:r>
      <w:rPr>
        <w:noProof/>
      </w:rPr>
      <mc:AlternateContent>
        <mc:Choice Requires="wps">
          <w:drawing>
            <wp:anchor distT="0" distB="0" distL="0" distR="0" simplePos="0" relativeHeight="251658243" behindDoc="0" locked="0" layoutInCell="1" allowOverlap="1" wp14:anchorId="3D29A06A" wp14:editId="4B43E74B">
              <wp:simplePos x="541020" y="10157460"/>
              <wp:positionH relativeFrom="page">
                <wp:align>center</wp:align>
              </wp:positionH>
              <wp:positionV relativeFrom="page">
                <wp:align>bottom</wp:align>
              </wp:positionV>
              <wp:extent cx="459740" cy="345440"/>
              <wp:effectExtent l="0" t="0" r="16510" b="0"/>
              <wp:wrapNone/>
              <wp:docPr id="4497914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8FF82A7" w14:textId="3D440AEC" w:rsidR="00E9031A" w:rsidRPr="00E9031A" w:rsidRDefault="00E9031A" w:rsidP="00E9031A">
                          <w:pPr>
                            <w:rPr>
                              <w:rFonts w:ascii="Calibri" w:eastAsia="Calibri" w:hAnsi="Calibri" w:cs="Calibri"/>
                              <w:noProof/>
                              <w:color w:val="000000"/>
                              <w:sz w:val="20"/>
                              <w:szCs w:val="20"/>
                            </w:rPr>
                          </w:pPr>
                          <w:r w:rsidRPr="00E9031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D29A06A" id="_x0000_t202" coordsize="21600,21600" o:spt="202" path="m,l,21600r21600,l21600,xe">
              <v:stroke joinstyle="miter"/>
              <v:path gradientshapeok="t" o:connecttype="rect"/>
            </v:shapetype>
            <v:shape id="Text Box 4" o:spid="_x0000_s1031" type="#_x0000_t202" alt="OFFICIAL" style="position:absolute;left:0;text-align:left;margin-left:0;margin-top:0;width:36.2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8FF82A7" w14:textId="3D440AEC" w:rsidR="00E9031A" w:rsidRPr="00E9031A" w:rsidRDefault="00E9031A" w:rsidP="00E9031A">
                    <w:pPr>
                      <w:rPr>
                        <w:rFonts w:ascii="Calibri" w:eastAsia="Calibri" w:hAnsi="Calibri" w:cs="Calibri"/>
                        <w:noProof/>
                        <w:color w:val="000000"/>
                        <w:sz w:val="20"/>
                        <w:szCs w:val="20"/>
                      </w:rPr>
                    </w:pPr>
                    <w:r w:rsidRPr="00E9031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E1D1" w14:textId="77777777" w:rsidR="00797903" w:rsidRDefault="00797903" w:rsidP="00056850">
      <w:r>
        <w:separator/>
      </w:r>
    </w:p>
  </w:footnote>
  <w:footnote w:type="continuationSeparator" w:id="0">
    <w:p w14:paraId="48F82E45" w14:textId="77777777" w:rsidR="00797903" w:rsidRDefault="00797903" w:rsidP="00056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3956" w14:textId="522F1B90" w:rsidR="00E9031A" w:rsidRDefault="00E9031A">
    <w:pPr>
      <w:pStyle w:val="Header"/>
    </w:pPr>
    <w:r>
      <w:rPr>
        <w:noProof/>
      </w:rPr>
      <mc:AlternateContent>
        <mc:Choice Requires="wps">
          <w:drawing>
            <wp:anchor distT="0" distB="0" distL="0" distR="0" simplePos="0" relativeHeight="251658241" behindDoc="0" locked="0" layoutInCell="1" allowOverlap="1" wp14:anchorId="74413595" wp14:editId="4675BBD6">
              <wp:simplePos x="635" y="635"/>
              <wp:positionH relativeFrom="page">
                <wp:align>center</wp:align>
              </wp:positionH>
              <wp:positionV relativeFrom="page">
                <wp:align>top</wp:align>
              </wp:positionV>
              <wp:extent cx="459740" cy="345440"/>
              <wp:effectExtent l="0" t="0" r="16510" b="16510"/>
              <wp:wrapNone/>
              <wp:docPr id="16794372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4620C2" w14:textId="7A635E28" w:rsidR="00E9031A" w:rsidRPr="00E9031A" w:rsidRDefault="00E9031A" w:rsidP="00E9031A">
                          <w:pPr>
                            <w:rPr>
                              <w:rFonts w:ascii="Calibri" w:eastAsia="Calibri" w:hAnsi="Calibri" w:cs="Calibri"/>
                              <w:noProof/>
                              <w:color w:val="000000"/>
                              <w:sz w:val="20"/>
                              <w:szCs w:val="20"/>
                            </w:rPr>
                          </w:pPr>
                          <w:r w:rsidRPr="00E9031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4413595"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014620C2" w14:textId="7A635E28" w:rsidR="00E9031A" w:rsidRPr="00E9031A" w:rsidRDefault="00E9031A" w:rsidP="00E9031A">
                    <w:pPr>
                      <w:rPr>
                        <w:rFonts w:ascii="Calibri" w:eastAsia="Calibri" w:hAnsi="Calibri" w:cs="Calibri"/>
                        <w:noProof/>
                        <w:color w:val="000000"/>
                        <w:sz w:val="20"/>
                        <w:szCs w:val="20"/>
                      </w:rPr>
                    </w:pPr>
                    <w:r w:rsidRPr="00E9031A">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540E" w14:textId="6728DF8F" w:rsidR="00E9031A" w:rsidRDefault="00E9031A">
    <w:pPr>
      <w:pStyle w:val="Header"/>
    </w:pPr>
    <w:r>
      <w:rPr>
        <w:noProof/>
      </w:rPr>
      <mc:AlternateContent>
        <mc:Choice Requires="wps">
          <w:drawing>
            <wp:anchor distT="0" distB="0" distL="0" distR="0" simplePos="0" relativeHeight="251658242" behindDoc="0" locked="0" layoutInCell="1" allowOverlap="1" wp14:anchorId="26155B6D" wp14:editId="7DD3E50C">
              <wp:simplePos x="635" y="635"/>
              <wp:positionH relativeFrom="page">
                <wp:align>center</wp:align>
              </wp:positionH>
              <wp:positionV relativeFrom="page">
                <wp:align>top</wp:align>
              </wp:positionV>
              <wp:extent cx="459740" cy="345440"/>
              <wp:effectExtent l="0" t="0" r="16510" b="16510"/>
              <wp:wrapNone/>
              <wp:docPr id="11771238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FB10E90" w14:textId="36886788" w:rsidR="00E9031A" w:rsidRPr="00E9031A" w:rsidRDefault="00E9031A" w:rsidP="00E9031A">
                          <w:pPr>
                            <w:rPr>
                              <w:rFonts w:ascii="Calibri" w:eastAsia="Calibri" w:hAnsi="Calibri" w:cs="Calibri"/>
                              <w:noProof/>
                              <w:color w:val="000000"/>
                              <w:sz w:val="20"/>
                              <w:szCs w:val="20"/>
                            </w:rPr>
                          </w:pPr>
                          <w:r w:rsidRPr="00E9031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6155B6D"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2FB10E90" w14:textId="36886788" w:rsidR="00E9031A" w:rsidRPr="00E9031A" w:rsidRDefault="00E9031A" w:rsidP="00E9031A">
                    <w:pPr>
                      <w:rPr>
                        <w:rFonts w:ascii="Calibri" w:eastAsia="Calibri" w:hAnsi="Calibri" w:cs="Calibri"/>
                        <w:noProof/>
                        <w:color w:val="000000"/>
                        <w:sz w:val="20"/>
                        <w:szCs w:val="20"/>
                      </w:rPr>
                    </w:pPr>
                    <w:r w:rsidRPr="00E9031A">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E8A6" w14:textId="3847CFC4" w:rsidR="00E9031A" w:rsidRDefault="00E9031A">
    <w:pPr>
      <w:pStyle w:val="Header"/>
    </w:pPr>
    <w:r>
      <w:rPr>
        <w:noProof/>
      </w:rPr>
      <mc:AlternateContent>
        <mc:Choice Requires="wps">
          <w:drawing>
            <wp:anchor distT="0" distB="0" distL="0" distR="0" simplePos="0" relativeHeight="251658240" behindDoc="0" locked="0" layoutInCell="1" allowOverlap="1" wp14:anchorId="35FA6958" wp14:editId="35378821">
              <wp:simplePos x="541020" y="358140"/>
              <wp:positionH relativeFrom="page">
                <wp:align>center</wp:align>
              </wp:positionH>
              <wp:positionV relativeFrom="page">
                <wp:align>top</wp:align>
              </wp:positionV>
              <wp:extent cx="459740" cy="345440"/>
              <wp:effectExtent l="0" t="0" r="16510" b="16510"/>
              <wp:wrapNone/>
              <wp:docPr id="19548723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2CFA884" w14:textId="1380A766" w:rsidR="00E9031A" w:rsidRPr="00E9031A" w:rsidRDefault="00E9031A" w:rsidP="00E9031A">
                          <w:pPr>
                            <w:rPr>
                              <w:rFonts w:ascii="Calibri" w:eastAsia="Calibri" w:hAnsi="Calibri" w:cs="Calibri"/>
                              <w:noProof/>
                              <w:color w:val="000000"/>
                              <w:sz w:val="20"/>
                              <w:szCs w:val="20"/>
                            </w:rPr>
                          </w:pPr>
                          <w:r w:rsidRPr="00E9031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5FA6958" id="_x0000_t202" coordsize="21600,21600" o:spt="202" path="m,l,21600r21600,l21600,xe">
              <v:stroke joinstyle="miter"/>
              <v:path gradientshapeok="t" o:connecttype="rect"/>
            </v:shapetype>
            <v:shape id="Text Box 1" o:spid="_x0000_s1030" type="#_x0000_t202" alt="OFFICIAL" style="position:absolute;left:0;text-align:left;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filled="f" stroked="f">
              <v:textbox style="mso-fit-shape-to-text:t" inset="0,15pt,0,0">
                <w:txbxContent>
                  <w:p w14:paraId="22CFA884" w14:textId="1380A766" w:rsidR="00E9031A" w:rsidRPr="00E9031A" w:rsidRDefault="00E9031A" w:rsidP="00E9031A">
                    <w:pPr>
                      <w:rPr>
                        <w:rFonts w:ascii="Calibri" w:eastAsia="Calibri" w:hAnsi="Calibri" w:cs="Calibri"/>
                        <w:noProof/>
                        <w:color w:val="000000"/>
                        <w:sz w:val="20"/>
                        <w:szCs w:val="20"/>
                      </w:rPr>
                    </w:pPr>
                    <w:r w:rsidRPr="00E9031A">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147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CD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E8BE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E8A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1025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729B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EA52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8DB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366F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761F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6E4824"/>
    <w:multiLevelType w:val="hybridMultilevel"/>
    <w:tmpl w:val="D310A4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9393022">
    <w:abstractNumId w:val="9"/>
  </w:num>
  <w:num w:numId="2" w16cid:durableId="1371148886">
    <w:abstractNumId w:val="7"/>
  </w:num>
  <w:num w:numId="3" w16cid:durableId="2064476797">
    <w:abstractNumId w:val="6"/>
  </w:num>
  <w:num w:numId="4" w16cid:durableId="1826160898">
    <w:abstractNumId w:val="5"/>
  </w:num>
  <w:num w:numId="5" w16cid:durableId="1514879390">
    <w:abstractNumId w:val="4"/>
  </w:num>
  <w:num w:numId="6" w16cid:durableId="2147121487">
    <w:abstractNumId w:val="8"/>
  </w:num>
  <w:num w:numId="7" w16cid:durableId="351996113">
    <w:abstractNumId w:val="3"/>
  </w:num>
  <w:num w:numId="8" w16cid:durableId="2059742302">
    <w:abstractNumId w:val="2"/>
  </w:num>
  <w:num w:numId="9" w16cid:durableId="957952145">
    <w:abstractNumId w:val="1"/>
  </w:num>
  <w:num w:numId="10" w16cid:durableId="589578853">
    <w:abstractNumId w:val="0"/>
  </w:num>
  <w:num w:numId="11" w16cid:durableId="763841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7B"/>
    <w:rsid w:val="00011809"/>
    <w:rsid w:val="00056850"/>
    <w:rsid w:val="0008414E"/>
    <w:rsid w:val="000A4186"/>
    <w:rsid w:val="000A6C12"/>
    <w:rsid w:val="000C33F6"/>
    <w:rsid w:val="000D3E9D"/>
    <w:rsid w:val="00154591"/>
    <w:rsid w:val="001A4789"/>
    <w:rsid w:val="001C11F6"/>
    <w:rsid w:val="00213071"/>
    <w:rsid w:val="002240DD"/>
    <w:rsid w:val="00247B45"/>
    <w:rsid w:val="0028592F"/>
    <w:rsid w:val="002A294D"/>
    <w:rsid w:val="002A2961"/>
    <w:rsid w:val="002B41D6"/>
    <w:rsid w:val="002C13C9"/>
    <w:rsid w:val="002E348B"/>
    <w:rsid w:val="002E6DC6"/>
    <w:rsid w:val="0032371C"/>
    <w:rsid w:val="00324CEF"/>
    <w:rsid w:val="00333810"/>
    <w:rsid w:val="003828C0"/>
    <w:rsid w:val="003F5D0D"/>
    <w:rsid w:val="00406F8B"/>
    <w:rsid w:val="004336CA"/>
    <w:rsid w:val="004406A9"/>
    <w:rsid w:val="0045711F"/>
    <w:rsid w:val="004857A7"/>
    <w:rsid w:val="004A08E4"/>
    <w:rsid w:val="004D3C48"/>
    <w:rsid w:val="00530ABD"/>
    <w:rsid w:val="005408C2"/>
    <w:rsid w:val="00595463"/>
    <w:rsid w:val="005A4B58"/>
    <w:rsid w:val="005E430D"/>
    <w:rsid w:val="005E73E9"/>
    <w:rsid w:val="005F5EDC"/>
    <w:rsid w:val="00626703"/>
    <w:rsid w:val="0064460B"/>
    <w:rsid w:val="00683569"/>
    <w:rsid w:val="00686AE2"/>
    <w:rsid w:val="006A288F"/>
    <w:rsid w:val="006A3E04"/>
    <w:rsid w:val="00734253"/>
    <w:rsid w:val="0073790D"/>
    <w:rsid w:val="00752BA9"/>
    <w:rsid w:val="00766794"/>
    <w:rsid w:val="00797903"/>
    <w:rsid w:val="007D425B"/>
    <w:rsid w:val="00806CE9"/>
    <w:rsid w:val="00823FDD"/>
    <w:rsid w:val="00907CDC"/>
    <w:rsid w:val="00913D3E"/>
    <w:rsid w:val="00914946"/>
    <w:rsid w:val="00936C4A"/>
    <w:rsid w:val="00962628"/>
    <w:rsid w:val="009B695B"/>
    <w:rsid w:val="009D5507"/>
    <w:rsid w:val="00A27586"/>
    <w:rsid w:val="00A63F2A"/>
    <w:rsid w:val="00A8429C"/>
    <w:rsid w:val="00A9253E"/>
    <w:rsid w:val="00AD7989"/>
    <w:rsid w:val="00AE4348"/>
    <w:rsid w:val="00AE44E1"/>
    <w:rsid w:val="00AF68E9"/>
    <w:rsid w:val="00B33D6B"/>
    <w:rsid w:val="00B82E23"/>
    <w:rsid w:val="00BA4F52"/>
    <w:rsid w:val="00BD79B0"/>
    <w:rsid w:val="00C03114"/>
    <w:rsid w:val="00C4429E"/>
    <w:rsid w:val="00C8137B"/>
    <w:rsid w:val="00C84E0B"/>
    <w:rsid w:val="00C856B3"/>
    <w:rsid w:val="00C8794A"/>
    <w:rsid w:val="00D52139"/>
    <w:rsid w:val="00D64D52"/>
    <w:rsid w:val="00D900B0"/>
    <w:rsid w:val="00DA5101"/>
    <w:rsid w:val="00DD0F68"/>
    <w:rsid w:val="00DD617E"/>
    <w:rsid w:val="00E11D2E"/>
    <w:rsid w:val="00E472DA"/>
    <w:rsid w:val="00E47837"/>
    <w:rsid w:val="00E503F9"/>
    <w:rsid w:val="00E75EFA"/>
    <w:rsid w:val="00E9031A"/>
    <w:rsid w:val="00E90999"/>
    <w:rsid w:val="00EC5961"/>
    <w:rsid w:val="00EC65D9"/>
    <w:rsid w:val="00EE0DB1"/>
    <w:rsid w:val="00EF4C5A"/>
    <w:rsid w:val="00F201AF"/>
    <w:rsid w:val="00F62F27"/>
    <w:rsid w:val="00F85304"/>
    <w:rsid w:val="00F920E6"/>
    <w:rsid w:val="00FA3202"/>
    <w:rsid w:val="00FA3E0A"/>
    <w:rsid w:val="00FE23DE"/>
    <w:rsid w:val="00FE74CA"/>
    <w:rsid w:val="02A9B4BA"/>
    <w:rsid w:val="13F19825"/>
    <w:rsid w:val="14E42127"/>
    <w:rsid w:val="1C195CD8"/>
    <w:rsid w:val="1C4C65A3"/>
    <w:rsid w:val="1D1CE668"/>
    <w:rsid w:val="3271A55A"/>
    <w:rsid w:val="36F14F24"/>
    <w:rsid w:val="37414439"/>
    <w:rsid w:val="3B695616"/>
    <w:rsid w:val="3CA57C04"/>
    <w:rsid w:val="3DA8E6CB"/>
    <w:rsid w:val="452A717C"/>
    <w:rsid w:val="47D8220F"/>
    <w:rsid w:val="59B3801F"/>
    <w:rsid w:val="60CC5A67"/>
    <w:rsid w:val="6538C415"/>
    <w:rsid w:val="69E96579"/>
    <w:rsid w:val="6ABC46DE"/>
    <w:rsid w:val="6B014035"/>
    <w:rsid w:val="6FD5BB0E"/>
    <w:rsid w:val="7005023D"/>
    <w:rsid w:val="707AA304"/>
    <w:rsid w:val="72FB2B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09714"/>
  <w15:docId w15:val="{678A1A69-A106-40B0-9681-F0602081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99"/>
    <w:semiHidden/>
    <w:qFormat/>
    <w:rsid w:val="00154591"/>
    <w:pPr>
      <w:spacing w:after="0" w:line="240" w:lineRule="auto"/>
    </w:pPr>
    <w:rPr>
      <w:rFonts w:eastAsia="Arial"/>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rsid w:val="00530ABD"/>
    <w:pPr>
      <w:spacing w:after="0" w:line="240" w:lineRule="auto"/>
      <w:jc w:val="center"/>
    </w:pPr>
  </w:style>
  <w:style w:type="character" w:customStyle="1" w:styleId="HeaderChar">
    <w:name w:val="Header Char"/>
    <w:basedOn w:val="DefaultParagraphFont"/>
    <w:link w:val="Header"/>
    <w:uiPriority w:val="99"/>
    <w:semiHidden/>
    <w:rsid w:val="00530ABD"/>
  </w:style>
  <w:style w:type="paragraph" w:styleId="Footer">
    <w:name w:val="footer"/>
    <w:link w:val="FooterChar"/>
    <w:uiPriority w:val="99"/>
    <w:semiHidden/>
    <w:rsid w:val="00154591"/>
    <w:pPr>
      <w:spacing w:after="0" w:line="240" w:lineRule="auto"/>
      <w:jc w:val="center"/>
    </w:pPr>
  </w:style>
  <w:style w:type="character" w:customStyle="1" w:styleId="FooterChar">
    <w:name w:val="Footer Char"/>
    <w:basedOn w:val="DefaultParagraphFont"/>
    <w:link w:val="Footer"/>
    <w:uiPriority w:val="99"/>
    <w:semiHidden/>
    <w:rsid w:val="00154591"/>
  </w:style>
  <w:style w:type="paragraph" w:styleId="BalloonText">
    <w:name w:val="Balloon Text"/>
    <w:basedOn w:val="Normal"/>
    <w:link w:val="BalloonTextChar"/>
    <w:uiPriority w:val="99"/>
    <w:semiHidden/>
    <w:rsid w:val="00F62F27"/>
    <w:rPr>
      <w:rFonts w:ascii="Tahoma" w:hAnsi="Tahoma" w:cs="Tahoma"/>
      <w:sz w:val="16"/>
      <w:szCs w:val="16"/>
    </w:rPr>
  </w:style>
  <w:style w:type="character" w:customStyle="1" w:styleId="BalloonTextChar">
    <w:name w:val="Balloon Text Char"/>
    <w:basedOn w:val="DefaultParagraphFont"/>
    <w:link w:val="BalloonText"/>
    <w:uiPriority w:val="99"/>
    <w:semiHidden/>
    <w:rsid w:val="00530ABD"/>
    <w:rPr>
      <w:rFonts w:ascii="Tahoma" w:eastAsia="Arial" w:hAnsi="Tahoma" w:cs="Tahoma"/>
      <w:sz w:val="16"/>
      <w:szCs w:val="16"/>
      <w:lang w:eastAsia="en-GB"/>
    </w:rPr>
  </w:style>
  <w:style w:type="paragraph" w:styleId="BodyText">
    <w:name w:val="Body Text"/>
    <w:link w:val="BodyTextChar"/>
    <w:uiPriority w:val="1"/>
    <w:qFormat/>
    <w:rsid w:val="00530ABD"/>
    <w:pPr>
      <w:spacing w:after="0" w:line="240" w:lineRule="auto"/>
    </w:pPr>
    <w:rPr>
      <w:rFonts w:eastAsia="Arial"/>
      <w:lang w:eastAsia="en-GB"/>
    </w:rPr>
  </w:style>
  <w:style w:type="character" w:customStyle="1" w:styleId="BodyTextChar">
    <w:name w:val="Body Text Char"/>
    <w:basedOn w:val="DefaultParagraphFont"/>
    <w:link w:val="BodyText"/>
    <w:uiPriority w:val="1"/>
    <w:rsid w:val="00530ABD"/>
    <w:rPr>
      <w:rFonts w:eastAsia="Arial"/>
      <w:lang w:eastAsia="en-GB"/>
    </w:rPr>
  </w:style>
  <w:style w:type="character" w:styleId="Hyperlink">
    <w:name w:val="Hyperlink"/>
    <w:basedOn w:val="DefaultParagraphFont"/>
    <w:uiPriority w:val="99"/>
    <w:semiHidden/>
    <w:rsid w:val="0045711F"/>
    <w:rPr>
      <w:color w:val="00B2E3" w:themeColor="hyperlink"/>
      <w:u w:val="single"/>
    </w:rPr>
  </w:style>
  <w:style w:type="character" w:styleId="UnresolvedMention">
    <w:name w:val="Unresolved Mention"/>
    <w:basedOn w:val="DefaultParagraphFont"/>
    <w:uiPriority w:val="99"/>
    <w:semiHidden/>
    <w:rsid w:val="0045711F"/>
    <w:rPr>
      <w:color w:val="605E5C"/>
      <w:shd w:val="clear" w:color="auto" w:fill="E1DFDD"/>
    </w:rPr>
  </w:style>
  <w:style w:type="character" w:styleId="FollowedHyperlink">
    <w:name w:val="FollowedHyperlink"/>
    <w:basedOn w:val="DefaultParagraphFont"/>
    <w:uiPriority w:val="99"/>
    <w:semiHidden/>
    <w:rsid w:val="00BD79B0"/>
    <w:rPr>
      <w:color w:val="EF4B81" w:themeColor="followedHyperlink"/>
      <w:u w:val="single"/>
    </w:rPr>
  </w:style>
  <w:style w:type="paragraph" w:styleId="NormalWeb">
    <w:name w:val="Normal (Web)"/>
    <w:basedOn w:val="Normal"/>
    <w:uiPriority w:val="99"/>
    <w:semiHidden/>
    <w:unhideWhenUsed/>
    <w:rsid w:val="00F201AF"/>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rsid w:val="0008414E"/>
    <w:rPr>
      <w:sz w:val="16"/>
      <w:szCs w:val="16"/>
    </w:rPr>
  </w:style>
  <w:style w:type="paragraph" w:styleId="CommentText">
    <w:name w:val="annotation text"/>
    <w:basedOn w:val="Normal"/>
    <w:link w:val="CommentTextChar"/>
    <w:uiPriority w:val="99"/>
    <w:semiHidden/>
    <w:rsid w:val="0008414E"/>
    <w:rPr>
      <w:sz w:val="20"/>
      <w:szCs w:val="20"/>
    </w:rPr>
  </w:style>
  <w:style w:type="character" w:customStyle="1" w:styleId="CommentTextChar">
    <w:name w:val="Comment Text Char"/>
    <w:basedOn w:val="DefaultParagraphFont"/>
    <w:link w:val="CommentText"/>
    <w:uiPriority w:val="99"/>
    <w:semiHidden/>
    <w:rsid w:val="0008414E"/>
    <w:rPr>
      <w:rFonts w:eastAsia="Arial"/>
      <w:sz w:val="20"/>
      <w:szCs w:val="20"/>
      <w:lang w:eastAsia="en-GB"/>
    </w:rPr>
  </w:style>
  <w:style w:type="paragraph" w:styleId="CommentSubject">
    <w:name w:val="annotation subject"/>
    <w:basedOn w:val="CommentText"/>
    <w:next w:val="CommentText"/>
    <w:link w:val="CommentSubjectChar"/>
    <w:uiPriority w:val="99"/>
    <w:semiHidden/>
    <w:rsid w:val="0008414E"/>
    <w:rPr>
      <w:b/>
      <w:bCs/>
    </w:rPr>
  </w:style>
  <w:style w:type="character" w:customStyle="1" w:styleId="CommentSubjectChar">
    <w:name w:val="Comment Subject Char"/>
    <w:basedOn w:val="CommentTextChar"/>
    <w:link w:val="CommentSubject"/>
    <w:uiPriority w:val="99"/>
    <w:semiHidden/>
    <w:rsid w:val="0008414E"/>
    <w:rPr>
      <w:rFonts w:eastAsia="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4694">
      <w:bodyDiv w:val="1"/>
      <w:marLeft w:val="0"/>
      <w:marRight w:val="0"/>
      <w:marTop w:val="0"/>
      <w:marBottom w:val="0"/>
      <w:divBdr>
        <w:top w:val="none" w:sz="0" w:space="0" w:color="auto"/>
        <w:left w:val="none" w:sz="0" w:space="0" w:color="auto"/>
        <w:bottom w:val="none" w:sz="0" w:space="0" w:color="auto"/>
        <w:right w:val="none" w:sz="0" w:space="0" w:color="auto"/>
      </w:divBdr>
    </w:div>
    <w:div w:id="123890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gpslibrary.org/assets/actgui/ew/EW_transitionarrangements%20May%202026%20v2.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uk/mhclg%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Lane\AppData\Local\Microsoft\Windows\INetCache\Content.Outlook\H7S258JS\DLUHC%20letterhead%20template%20(005).dotx" TargetMode="External"/></Relationships>
</file>

<file path=word/theme/theme1.xml><?xml version="1.0" encoding="utf-8"?>
<a:theme xmlns:a="http://schemas.openxmlformats.org/drawingml/2006/main" name="Office Theme">
  <a:themeElements>
    <a:clrScheme name="MLCLG">
      <a:dk1>
        <a:sysClr val="windowText" lastClr="000000"/>
      </a:dk1>
      <a:lt1>
        <a:sysClr val="window" lastClr="FFFFFF"/>
      </a:lt1>
      <a:dk2>
        <a:srgbClr val="000000"/>
      </a:dk2>
      <a:lt2>
        <a:srgbClr val="FFFFFF"/>
      </a:lt2>
      <a:accent1>
        <a:srgbClr val="002554"/>
      </a:accent1>
      <a:accent2>
        <a:srgbClr val="00B2E3"/>
      </a:accent2>
      <a:accent3>
        <a:srgbClr val="38D430"/>
      </a:accent3>
      <a:accent4>
        <a:srgbClr val="FFE800"/>
      </a:accent4>
      <a:accent5>
        <a:srgbClr val="EF4B81"/>
      </a:accent5>
      <a:accent6>
        <a:srgbClr val="FFAB4D"/>
      </a:accent6>
      <a:hlink>
        <a:srgbClr val="00B2E3"/>
      </a:hlink>
      <a:folHlink>
        <a:srgbClr val="EF4B81"/>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ct:contentTypeSchema xmlns:ct="http://schemas.microsoft.com/office/2006/metadata/contentType" xmlns:ma="http://schemas.microsoft.com/office/2006/metadata/properties/metaAttributes" ct:_="" ma:_="" ma:contentTypeName="Document" ma:contentTypeID="0x0101008EFBF9F0EEF9024B851798905602A73B" ma:contentTypeVersion="19" ma:contentTypeDescription="Create a new document." ma:contentTypeScope="" ma:versionID="1d75611e23d9cf42872fd04572fb76d7">
  <xsd:schema xmlns:xsd="http://www.w3.org/2001/XMLSchema" xmlns:xs="http://www.w3.org/2001/XMLSchema" xmlns:p="http://schemas.microsoft.com/office/2006/metadata/properties" xmlns:ns1="http://schemas.microsoft.com/sharepoint/v3" xmlns:ns2="52907788-3c74-4840-b653-af3aea5e5f4b" xmlns:ns3="49dd332d-6948-448e-8342-709605274695" xmlns:ns4="83a87e31-bf32-46ab-8e70-9fa18461fa4d" targetNamespace="http://schemas.microsoft.com/office/2006/metadata/properties" ma:root="true" ma:fieldsID="bfa7abd6abe2f01bd73d021d6db311bb" ns1:_="" ns2:_="" ns3:_="" ns4:_="">
    <xsd:import namespace="http://schemas.microsoft.com/sharepoint/v3"/>
    <xsd:import namespace="52907788-3c74-4840-b653-af3aea5e5f4b"/>
    <xsd:import namespace="49dd332d-6948-448e-8342-709605274695"/>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07788-3c74-4840-b653-af3aea5e5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d332d-6948-448e-8342-7096052746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49a358-5c23-48be-88d8-1a53a48463fc}" ma:internalName="TaxCatchAll" ma:showField="CatchAllData" ma:web="49dd332d-6948-448e-8342-709605274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907788-3c74-4840-b653-af3aea5e5f4b">
      <Terms xmlns="http://schemas.microsoft.com/office/infopath/2007/PartnerControls"/>
    </lcf76f155ced4ddcb4097134ff3c332f>
    <TaxCatchAll xmlns="83a87e31-bf32-46ab-8e70-9fa18461fa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FDA5C-1046-4A3F-B1CA-D85A5F68962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B3CABF3-7FD9-4B2F-AC51-FB74A9AF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07788-3c74-4840-b653-af3aea5e5f4b"/>
    <ds:schemaRef ds:uri="49dd332d-6948-448e-8342-709605274695"/>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F2D33-DD08-44C3-9597-6E92C7F9DFD8}">
  <ds:schemaRefs>
    <ds:schemaRef ds:uri="http://schemas.microsoft.com/office/2006/metadata/properties"/>
    <ds:schemaRef ds:uri="http://schemas.microsoft.com/office/infopath/2007/PartnerControls"/>
    <ds:schemaRef ds:uri="http://schemas.microsoft.com/sharepoint/v3"/>
    <ds:schemaRef ds:uri="52907788-3c74-4840-b653-af3aea5e5f4b"/>
    <ds:schemaRef ds:uri="83a87e31-bf32-46ab-8e70-9fa18461fa4d"/>
  </ds:schemaRefs>
</ds:datastoreItem>
</file>

<file path=customXml/itemProps4.xml><?xml version="1.0" encoding="utf-8"?>
<ds:datastoreItem xmlns:ds="http://schemas.openxmlformats.org/officeDocument/2006/customXml" ds:itemID="{A7392454-672F-4C64-87EC-C7AC26544CC1}">
  <ds:schemaRefs>
    <ds:schemaRef ds:uri="http://schemas.microsoft.com/sharepoint/v3/contenttype/forms"/>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DLUHC letterhead template (005)</Template>
  <TotalTime>3</TotalTime>
  <Pages>1</Pages>
  <Words>320</Words>
  <Characters>1828</Characters>
  <Application>Microsoft Office Word</Application>
  <DocSecurity>0</DocSecurity>
  <Lines>15</Lines>
  <Paragraphs>4</Paragraphs>
  <ScaleCrop>false</ScaleCrop>
  <Manager>Department for Levelling Up, Housing &amp; Communities</Manager>
  <Company>Department for Levelling Up, Housing &amp; Communities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Amy Lane</dc:creator>
  <cp:keywords>[Key words separated by commas]</cp:keywords>
  <cp:lastModifiedBy>Steven Moseley</cp:lastModifiedBy>
  <cp:revision>38</cp:revision>
  <cp:lastPrinted>2021-09-23T19:54:00Z</cp:lastPrinted>
  <dcterms:created xsi:type="dcterms:W3CDTF">2026-06-02T00:58:00Z</dcterms:created>
  <dcterms:modified xsi:type="dcterms:W3CDTF">2026-06-10T07:12:00Z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015c2f86-724c-40d0-9f37-5b455609eb31</vt:lpwstr>
  </property>
  <property fmtid="{D5CDD505-2E9C-101B-9397-08002B2CF9AE}" pid="3" name="bjDocumentSecurityLabel">
    <vt:lpwstr>No Marking</vt:lpwstr>
  </property>
  <property fmtid="{D5CDD505-2E9C-101B-9397-08002B2CF9AE}" pid="4" name="bjSaver">
    <vt:lpwstr>XHsH0FSvB7jsUL3gCaFBxu8lz9ooLJIL</vt:lpwstr>
  </property>
  <property fmtid="{D5CDD505-2E9C-101B-9397-08002B2CF9AE}" pid="5" name="ContentTypeId">
    <vt:lpwstr>0x0101008EFBF9F0EEF9024B851798905602A73B</vt:lpwstr>
  </property>
  <property fmtid="{D5CDD505-2E9C-101B-9397-08002B2CF9AE}" pid="6" name="ClassificationContentMarkingHeaderShapeIds">
    <vt:lpwstr>7484fc42,641a2dd7,46297beb</vt:lpwstr>
  </property>
  <property fmtid="{D5CDD505-2E9C-101B-9397-08002B2CF9AE}" pid="7" name="ClassificationContentMarkingHeaderFontProps">
    <vt:lpwstr>#000000,10,Calibri</vt:lpwstr>
  </property>
  <property fmtid="{D5CDD505-2E9C-101B-9397-08002B2CF9AE}" pid="8" name="ClassificationContentMarkingHeaderText">
    <vt:lpwstr>OFFICIAL</vt:lpwstr>
  </property>
  <property fmtid="{D5CDD505-2E9C-101B-9397-08002B2CF9AE}" pid="9" name="ClassificationContentMarkingFooterShapeIds">
    <vt:lpwstr>1acf45dd,900fc7c,1ba77813</vt:lpwstr>
  </property>
  <property fmtid="{D5CDD505-2E9C-101B-9397-08002B2CF9AE}" pid="10" name="ClassificationContentMarkingFooterFontProps">
    <vt:lpwstr>#000000,10,Calibri</vt:lpwstr>
  </property>
  <property fmtid="{D5CDD505-2E9C-101B-9397-08002B2CF9AE}" pid="11" name="ClassificationContentMarkingFooterText">
    <vt:lpwstr>OFFICIAL</vt:lpwstr>
  </property>
  <property fmtid="{D5CDD505-2E9C-101B-9397-08002B2CF9AE}" pid="12" name="MediaServiceImageTags">
    <vt:lpwstr/>
  </property>
</Properties>
</file>