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34" w:rsidRPr="001F5F06" w:rsidRDefault="00B125E0" w:rsidP="00B125E0">
      <w:pPr>
        <w:jc w:val="center"/>
        <w:rPr>
          <w:rFonts w:ascii="Arial" w:hAnsi="Arial" w:cs="Arial"/>
          <w:color w:val="002060"/>
          <w:sz w:val="32"/>
          <w:szCs w:val="32"/>
        </w:rPr>
      </w:pPr>
      <w:r w:rsidRPr="001F5F06">
        <w:rPr>
          <w:rFonts w:ascii="Arial" w:hAnsi="Arial" w:cs="Arial"/>
          <w:color w:val="002060"/>
          <w:sz w:val="32"/>
          <w:szCs w:val="32"/>
        </w:rPr>
        <w:t>Secretary of State Guidance – Outstanding Queries</w:t>
      </w:r>
    </w:p>
    <w:tbl>
      <w:tblPr>
        <w:tblStyle w:val="TableGrid"/>
        <w:tblW w:w="0" w:type="auto"/>
        <w:tblLook w:val="04A0" w:firstRow="1" w:lastRow="0" w:firstColumn="1" w:lastColumn="0" w:noHBand="0" w:noVBand="1"/>
      </w:tblPr>
      <w:tblGrid>
        <w:gridCol w:w="1129"/>
        <w:gridCol w:w="4820"/>
        <w:gridCol w:w="6379"/>
        <w:gridCol w:w="1620"/>
      </w:tblGrid>
      <w:tr w:rsidR="00CB1EB3" w:rsidTr="000F7854">
        <w:tc>
          <w:tcPr>
            <w:tcW w:w="1129" w:type="dxa"/>
            <w:shd w:val="clear" w:color="auto" w:fill="FFC000"/>
            <w:vAlign w:val="center"/>
          </w:tcPr>
          <w:p w:rsidR="00CB1EB3" w:rsidRPr="00CB1EB3" w:rsidRDefault="00BC4961" w:rsidP="00CB1EB3">
            <w:pPr>
              <w:jc w:val="center"/>
              <w:rPr>
                <w:rFonts w:ascii="Arial" w:hAnsi="Arial" w:cs="Arial"/>
                <w:b/>
                <w:sz w:val="28"/>
                <w:szCs w:val="28"/>
              </w:rPr>
            </w:pPr>
            <w:r>
              <w:rPr>
                <w:rFonts w:ascii="Arial" w:hAnsi="Arial" w:cs="Arial"/>
                <w:b/>
                <w:sz w:val="28"/>
                <w:szCs w:val="28"/>
              </w:rPr>
              <w:t>Query</w:t>
            </w:r>
            <w:r w:rsidR="00CB1EB3" w:rsidRPr="00CB1EB3">
              <w:rPr>
                <w:rStyle w:val="FootnoteReference"/>
                <w:rFonts w:ascii="Arial" w:hAnsi="Arial" w:cs="Arial"/>
                <w:b/>
                <w:sz w:val="28"/>
                <w:szCs w:val="28"/>
              </w:rPr>
              <w:footnoteReference w:id="1"/>
            </w:r>
          </w:p>
        </w:tc>
        <w:tc>
          <w:tcPr>
            <w:tcW w:w="48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Statutory Guidance</w:t>
            </w:r>
          </w:p>
        </w:tc>
        <w:tc>
          <w:tcPr>
            <w:tcW w:w="6379" w:type="dxa"/>
            <w:shd w:val="clear" w:color="auto" w:fill="FFC000"/>
            <w:vAlign w:val="center"/>
          </w:tcPr>
          <w:p w:rsidR="00CB1EB3" w:rsidRPr="00CB1EB3" w:rsidRDefault="00CB1EB3" w:rsidP="00CB1EB3">
            <w:pPr>
              <w:jc w:val="center"/>
              <w:rPr>
                <w:rFonts w:ascii="Arial" w:hAnsi="Arial" w:cs="Arial"/>
                <w:b/>
                <w:sz w:val="28"/>
                <w:szCs w:val="28"/>
              </w:rPr>
            </w:pPr>
            <w:r>
              <w:rPr>
                <w:rFonts w:ascii="Arial" w:hAnsi="Arial" w:cs="Arial"/>
                <w:b/>
                <w:sz w:val="28"/>
                <w:szCs w:val="28"/>
              </w:rPr>
              <w:t>Brief description</w:t>
            </w:r>
          </w:p>
        </w:tc>
        <w:tc>
          <w:tcPr>
            <w:tcW w:w="1620" w:type="dxa"/>
            <w:shd w:val="clear" w:color="auto" w:fill="FFC000"/>
            <w:vAlign w:val="center"/>
          </w:tcPr>
          <w:p w:rsidR="00CB1EB3" w:rsidRPr="00CB1EB3" w:rsidRDefault="00CB1EB3" w:rsidP="00CB1EB3">
            <w:pPr>
              <w:jc w:val="center"/>
              <w:rPr>
                <w:rFonts w:ascii="Arial" w:hAnsi="Arial" w:cs="Arial"/>
                <w:b/>
                <w:sz w:val="28"/>
                <w:szCs w:val="28"/>
              </w:rPr>
            </w:pPr>
            <w:r w:rsidRPr="00CB1EB3">
              <w:rPr>
                <w:rFonts w:ascii="Arial" w:hAnsi="Arial" w:cs="Arial"/>
                <w:b/>
                <w:sz w:val="28"/>
                <w:szCs w:val="28"/>
              </w:rPr>
              <w:t>Status</w:t>
            </w:r>
          </w:p>
        </w:tc>
      </w:tr>
      <w:tr w:rsidR="00CB1EB3" w:rsidTr="000F7854">
        <w:tc>
          <w:tcPr>
            <w:tcW w:w="1129" w:type="dxa"/>
            <w:vAlign w:val="center"/>
          </w:tcPr>
          <w:p w:rsidR="00CB1EB3" w:rsidRPr="00BC4961" w:rsidRDefault="00CB1EB3" w:rsidP="00BC4961">
            <w:pPr>
              <w:jc w:val="center"/>
              <w:rPr>
                <w:rFonts w:ascii="Arial" w:hAnsi="Arial" w:cs="Arial"/>
              </w:rPr>
            </w:pPr>
            <w:r w:rsidRPr="00BC4961">
              <w:rPr>
                <w:rFonts w:ascii="Arial" w:hAnsi="Arial" w:cs="Arial"/>
              </w:rPr>
              <w:t>2</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F84D2F" w:rsidP="00846337">
            <w:pPr>
              <w:rPr>
                <w:rFonts w:ascii="Arial" w:hAnsi="Arial" w:cs="Arial"/>
              </w:rPr>
            </w:pPr>
            <w:hyperlink w:anchor="two" w:history="1">
              <w:r w:rsidR="00CB1EB3" w:rsidRPr="00797B9C">
                <w:rPr>
                  <w:rStyle w:val="Hyperlink"/>
                  <w:rFonts w:ascii="Arial" w:hAnsi="Arial" w:cs="Arial"/>
                </w:rPr>
                <w:t>Use of AVC funds at retirement</w:t>
              </w:r>
            </w:hyperlink>
          </w:p>
        </w:tc>
        <w:tc>
          <w:tcPr>
            <w:tcW w:w="1620" w:type="dxa"/>
            <w:vAlign w:val="center"/>
          </w:tcPr>
          <w:p w:rsidR="00CB1EB3" w:rsidRPr="001F5F06" w:rsidRDefault="00CB1EB3" w:rsidP="001F5F06">
            <w:pPr>
              <w:jc w:val="center"/>
              <w:rPr>
                <w:rFonts w:ascii="Arial" w:hAnsi="Arial" w:cs="Arial"/>
              </w:rPr>
            </w:pPr>
            <w:r w:rsidRPr="001F5F06">
              <w:rPr>
                <w:rFonts w:ascii="Arial" w:hAnsi="Arial" w:cs="Arial"/>
              </w:rPr>
              <w:t>With GAD</w:t>
            </w:r>
          </w:p>
        </w:tc>
      </w:tr>
      <w:tr w:rsidR="00CB1EB3" w:rsidTr="000F7854">
        <w:tc>
          <w:tcPr>
            <w:tcW w:w="1129" w:type="dxa"/>
            <w:vAlign w:val="center"/>
          </w:tcPr>
          <w:p w:rsidR="00CB1EB3" w:rsidRPr="00BC4961" w:rsidRDefault="00CB1EB3" w:rsidP="00BC4961">
            <w:pPr>
              <w:jc w:val="center"/>
              <w:rPr>
                <w:rFonts w:ascii="Arial" w:hAnsi="Arial" w:cs="Arial"/>
              </w:rPr>
            </w:pPr>
            <w:r w:rsidRPr="00BC4961">
              <w:rPr>
                <w:rFonts w:ascii="Arial" w:hAnsi="Arial" w:cs="Arial"/>
              </w:rPr>
              <w:t>6</w:t>
            </w:r>
          </w:p>
        </w:tc>
        <w:tc>
          <w:tcPr>
            <w:tcW w:w="4820" w:type="dxa"/>
            <w:vAlign w:val="center"/>
          </w:tcPr>
          <w:p w:rsidR="00CB1EB3" w:rsidRPr="001F5F06" w:rsidRDefault="00CB1EB3" w:rsidP="00BC4961">
            <w:pPr>
              <w:jc w:val="center"/>
              <w:rPr>
                <w:rFonts w:ascii="Arial" w:hAnsi="Arial" w:cs="Arial"/>
              </w:rPr>
            </w:pPr>
            <w:r w:rsidRPr="001F5F06">
              <w:rPr>
                <w:rFonts w:ascii="Arial" w:hAnsi="Arial" w:cs="Arial"/>
              </w:rPr>
              <w:t>Annual Allowances Charges: Calculation of Scheme Pays Offset</w:t>
            </w:r>
          </w:p>
        </w:tc>
        <w:tc>
          <w:tcPr>
            <w:tcW w:w="6379" w:type="dxa"/>
            <w:vAlign w:val="center"/>
          </w:tcPr>
          <w:p w:rsidR="00CB1EB3" w:rsidRPr="001F5F06" w:rsidRDefault="00F84D2F" w:rsidP="00846337">
            <w:pPr>
              <w:rPr>
                <w:rFonts w:ascii="Arial" w:hAnsi="Arial" w:cs="Arial"/>
              </w:rPr>
            </w:pPr>
            <w:hyperlink w:anchor="six" w:history="1">
              <w:r w:rsidR="00BC4961" w:rsidRPr="00797B9C">
                <w:rPr>
                  <w:rStyle w:val="Hyperlink"/>
                  <w:rFonts w:ascii="Arial" w:hAnsi="Arial" w:cs="Arial"/>
                </w:rPr>
                <w:t>Interaction of Scheme Pays with valuing benefits for IP2016</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vAlign w:val="center"/>
          </w:tcPr>
          <w:p w:rsidR="00CB1EB3" w:rsidRPr="00BC4961" w:rsidRDefault="00BC4961" w:rsidP="00BC4961">
            <w:pPr>
              <w:jc w:val="center"/>
              <w:rPr>
                <w:rFonts w:ascii="Arial" w:hAnsi="Arial" w:cs="Arial"/>
              </w:rPr>
            </w:pPr>
            <w:r w:rsidRPr="00BC4961">
              <w:rPr>
                <w:rFonts w:ascii="Arial" w:hAnsi="Arial" w:cs="Arial"/>
              </w:rPr>
              <w:t>7</w:t>
            </w:r>
          </w:p>
        </w:tc>
        <w:tc>
          <w:tcPr>
            <w:tcW w:w="4820" w:type="dxa"/>
            <w:vAlign w:val="center"/>
          </w:tcPr>
          <w:p w:rsidR="00CB1EB3" w:rsidRPr="001F5F06" w:rsidRDefault="00BC4961" w:rsidP="00BC4961">
            <w:pPr>
              <w:jc w:val="center"/>
              <w:rPr>
                <w:rFonts w:ascii="Arial" w:hAnsi="Arial" w:cs="Arial"/>
              </w:rPr>
            </w:pPr>
            <w:r w:rsidRPr="001F5F06">
              <w:rPr>
                <w:rFonts w:ascii="Arial" w:hAnsi="Arial" w:cs="Arial"/>
              </w:rPr>
              <w:t>Scotland - Annual Allowance Charges:  Calculation of Scheme Pays Offset</w:t>
            </w:r>
          </w:p>
        </w:tc>
        <w:tc>
          <w:tcPr>
            <w:tcW w:w="6379" w:type="dxa"/>
            <w:vAlign w:val="center"/>
          </w:tcPr>
          <w:p w:rsidR="00CB1EB3" w:rsidRPr="001F5F06" w:rsidRDefault="00F84D2F" w:rsidP="00846337">
            <w:pPr>
              <w:rPr>
                <w:rFonts w:ascii="Arial" w:hAnsi="Arial" w:cs="Arial"/>
              </w:rPr>
            </w:pPr>
            <w:hyperlink w:anchor="seven" w:history="1">
              <w:r w:rsidR="00BC4961" w:rsidRPr="00797B9C">
                <w:rPr>
                  <w:rStyle w:val="Hyperlink"/>
                  <w:rFonts w:ascii="Arial" w:hAnsi="Arial" w:cs="Arial"/>
                </w:rPr>
                <w:t>Actuarial guidance incorrectly states the Pension Input Period is 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April to 31</w:t>
              </w:r>
              <w:r w:rsidR="00BC4961" w:rsidRPr="00797B9C">
                <w:rPr>
                  <w:rStyle w:val="Hyperlink"/>
                  <w:rFonts w:ascii="Arial" w:hAnsi="Arial" w:cs="Arial"/>
                  <w:vertAlign w:val="superscript"/>
                </w:rPr>
                <w:t>st</w:t>
              </w:r>
              <w:r w:rsidR="00BC4961" w:rsidRPr="00797B9C">
                <w:rPr>
                  <w:rStyle w:val="Hyperlink"/>
                  <w:rFonts w:ascii="Arial" w:hAnsi="Arial" w:cs="Arial"/>
                </w:rPr>
                <w:t xml:space="preserve"> March</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8</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F84D2F" w:rsidP="00846337">
            <w:pPr>
              <w:rPr>
                <w:rFonts w:ascii="Arial" w:hAnsi="Arial" w:cs="Arial"/>
              </w:rPr>
            </w:pPr>
            <w:hyperlink w:anchor="eight" w:history="1">
              <w:r w:rsidR="00BC4961" w:rsidRPr="00797B9C">
                <w:rPr>
                  <w:rStyle w:val="Hyperlink"/>
                  <w:rFonts w:ascii="Arial" w:hAnsi="Arial" w:cs="Arial"/>
                </w:rPr>
                <w:t xml:space="preserve">Guidance needs clarification when a member who has flexibly retired can transfer out a separate deferred benefit.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9</w:t>
            </w:r>
          </w:p>
        </w:tc>
        <w:tc>
          <w:tcPr>
            <w:tcW w:w="4820" w:type="dxa"/>
          </w:tcPr>
          <w:p w:rsidR="00CB1EB3" w:rsidRPr="001F5F06" w:rsidRDefault="00BC4961" w:rsidP="00B125E0">
            <w:pPr>
              <w:jc w:val="center"/>
              <w:rPr>
                <w:rFonts w:ascii="Arial" w:hAnsi="Arial" w:cs="Arial"/>
              </w:rPr>
            </w:pPr>
            <w:r w:rsidRPr="001F5F06">
              <w:rPr>
                <w:rFonts w:ascii="Arial" w:eastAsia="Times New Roman" w:hAnsi="Arial" w:cs="Arial"/>
                <w:lang w:eastAsia="en-GB"/>
              </w:rPr>
              <w:t>Factors to use for purchase of additional survivor benefits</w:t>
            </w:r>
          </w:p>
        </w:tc>
        <w:tc>
          <w:tcPr>
            <w:tcW w:w="6379" w:type="dxa"/>
            <w:vAlign w:val="center"/>
          </w:tcPr>
          <w:p w:rsidR="00CB1EB3" w:rsidRPr="001F5F06" w:rsidRDefault="00F84D2F" w:rsidP="00846337">
            <w:pPr>
              <w:rPr>
                <w:rFonts w:ascii="Arial" w:hAnsi="Arial" w:cs="Arial"/>
              </w:rPr>
            </w:pPr>
            <w:hyperlink w:anchor="nine" w:history="1">
              <w:r w:rsidR="00BC4961" w:rsidRPr="00797B9C">
                <w:rPr>
                  <w:rStyle w:val="Hyperlink"/>
                  <w:rFonts w:ascii="Arial" w:hAnsi="Arial" w:cs="Arial"/>
                </w:rPr>
                <w:t>Multiple corrections necessary mostly to reflect that no new contracts can be taken out</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10</w:t>
            </w:r>
          </w:p>
        </w:tc>
        <w:tc>
          <w:tcPr>
            <w:tcW w:w="4820" w:type="dxa"/>
          </w:tcPr>
          <w:p w:rsidR="00CB1EB3" w:rsidRPr="001F5F06" w:rsidRDefault="00BC4961" w:rsidP="00B125E0">
            <w:pPr>
              <w:jc w:val="center"/>
              <w:rPr>
                <w:rFonts w:ascii="Arial" w:hAnsi="Arial" w:cs="Arial"/>
              </w:rPr>
            </w:pPr>
            <w:r w:rsidRPr="001F5F06">
              <w:rPr>
                <w:rFonts w:ascii="Arial" w:hAnsi="Arial" w:cs="Arial"/>
              </w:rPr>
              <w:t>Early payment of pension</w:t>
            </w:r>
          </w:p>
        </w:tc>
        <w:tc>
          <w:tcPr>
            <w:tcW w:w="6379" w:type="dxa"/>
            <w:vAlign w:val="center"/>
          </w:tcPr>
          <w:p w:rsidR="00CB1EB3" w:rsidRPr="001F5F06" w:rsidRDefault="00F84D2F" w:rsidP="00846337">
            <w:pPr>
              <w:rPr>
                <w:rFonts w:ascii="Arial" w:hAnsi="Arial" w:cs="Arial"/>
              </w:rPr>
            </w:pPr>
            <w:hyperlink w:anchor="ten" w:history="1">
              <w:r w:rsidR="00BC4961" w:rsidRPr="00797B9C">
                <w:rPr>
                  <w:rStyle w:val="Hyperlink"/>
                  <w:rFonts w:ascii="Arial" w:hAnsi="Arial" w:cs="Arial"/>
                </w:rPr>
                <w:t>Guidance does not reflect that certain club transfers can still purchase D2 final salary benefits where membership is after 1/4/2015</w:t>
              </w:r>
            </w:hyperlink>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BC4961" w:rsidP="00B125E0">
            <w:pPr>
              <w:jc w:val="center"/>
              <w:rPr>
                <w:rFonts w:ascii="Arial" w:hAnsi="Arial" w:cs="Arial"/>
              </w:rPr>
            </w:pPr>
            <w:r>
              <w:rPr>
                <w:rFonts w:ascii="Arial" w:hAnsi="Arial" w:cs="Arial"/>
              </w:rPr>
              <w:t>12</w:t>
            </w:r>
          </w:p>
        </w:tc>
        <w:tc>
          <w:tcPr>
            <w:tcW w:w="4820" w:type="dxa"/>
          </w:tcPr>
          <w:p w:rsidR="00CB1EB3" w:rsidRPr="001F5F06" w:rsidRDefault="00BC4961" w:rsidP="00B125E0">
            <w:pPr>
              <w:jc w:val="center"/>
              <w:rPr>
                <w:rFonts w:ascii="Arial" w:hAnsi="Arial" w:cs="Arial"/>
              </w:rPr>
            </w:pPr>
            <w:r w:rsidRPr="001F5F06">
              <w:rPr>
                <w:rFonts w:ascii="Arial" w:hAnsi="Arial" w:cs="Arial"/>
              </w:rPr>
              <w:t>All Statutory guidance where appropriate</w:t>
            </w:r>
          </w:p>
        </w:tc>
        <w:tc>
          <w:tcPr>
            <w:tcW w:w="6379" w:type="dxa"/>
            <w:vAlign w:val="center"/>
          </w:tcPr>
          <w:p w:rsidR="00CB1EB3" w:rsidRPr="001F5F06" w:rsidRDefault="00F84D2F" w:rsidP="00846337">
            <w:pPr>
              <w:rPr>
                <w:rFonts w:ascii="Arial" w:hAnsi="Arial" w:cs="Arial"/>
              </w:rPr>
            </w:pPr>
            <w:hyperlink w:anchor="twelve" w:history="1">
              <w:r w:rsidR="00BC4961" w:rsidRPr="00797B9C">
                <w:rPr>
                  <w:rStyle w:val="Hyperlink"/>
                  <w:rFonts w:ascii="Arial" w:hAnsi="Arial" w:cs="Arial"/>
                </w:rPr>
                <w:t xml:space="preserve">Some of the statutory guidance still refers/links to the withdrawn Registered Pension Scheme Manual (RPSM) </w:t>
              </w:r>
            </w:hyperlink>
            <w:r w:rsidR="00BC4961" w:rsidRPr="001F5F06">
              <w:rPr>
                <w:rFonts w:ascii="Arial" w:hAnsi="Arial" w:cs="Arial"/>
              </w:rPr>
              <w:t xml:space="preserve"> </w:t>
            </w:r>
          </w:p>
        </w:tc>
        <w:tc>
          <w:tcPr>
            <w:tcW w:w="1620" w:type="dxa"/>
            <w:vAlign w:val="center"/>
          </w:tcPr>
          <w:p w:rsidR="00CB1EB3" w:rsidRPr="001F5F06" w:rsidRDefault="00BC4961"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D161B8" w:rsidP="00B125E0">
            <w:pPr>
              <w:jc w:val="center"/>
              <w:rPr>
                <w:rFonts w:ascii="Arial" w:hAnsi="Arial" w:cs="Arial"/>
              </w:rPr>
            </w:pPr>
            <w:r>
              <w:rPr>
                <w:rFonts w:ascii="Arial" w:hAnsi="Arial" w:cs="Arial"/>
              </w:rPr>
              <w:t>14</w:t>
            </w:r>
          </w:p>
        </w:tc>
        <w:tc>
          <w:tcPr>
            <w:tcW w:w="4820" w:type="dxa"/>
          </w:tcPr>
          <w:p w:rsidR="00CB1EB3" w:rsidRPr="001F5F06" w:rsidRDefault="00D161B8"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F84D2F" w:rsidP="00846337">
            <w:pPr>
              <w:rPr>
                <w:rFonts w:ascii="Arial" w:hAnsi="Arial" w:cs="Arial"/>
              </w:rPr>
            </w:pPr>
            <w:hyperlink w:anchor="fourteen" w:history="1">
              <w:r w:rsidR="00D161B8" w:rsidRPr="00797B9C">
                <w:rPr>
                  <w:rStyle w:val="Hyperlink"/>
                  <w:rFonts w:ascii="Arial" w:hAnsi="Arial" w:cs="Arial"/>
                </w:rPr>
                <w:t>Multiple queries raised by Capita on the transfer guidance</w:t>
              </w:r>
            </w:hyperlink>
          </w:p>
        </w:tc>
        <w:tc>
          <w:tcPr>
            <w:tcW w:w="1620" w:type="dxa"/>
            <w:vAlign w:val="center"/>
          </w:tcPr>
          <w:p w:rsidR="00CB1EB3" w:rsidRPr="001F5F06" w:rsidRDefault="00846337" w:rsidP="001F5F06">
            <w:pPr>
              <w:jc w:val="center"/>
              <w:rPr>
                <w:rFonts w:ascii="Arial" w:hAnsi="Arial" w:cs="Arial"/>
              </w:rPr>
            </w:pPr>
            <w:r w:rsidRPr="001F5F06">
              <w:rPr>
                <w:rFonts w:ascii="Arial" w:hAnsi="Arial" w:cs="Arial"/>
              </w:rPr>
              <w:t xml:space="preserve">Various see </w:t>
            </w:r>
            <w:hyperlink r:id="rId8" w:history="1">
              <w:r w:rsidRPr="001F5F06">
                <w:rPr>
                  <w:rStyle w:val="Hyperlink"/>
                  <w:rFonts w:ascii="Arial" w:hAnsi="Arial" w:cs="Arial"/>
                </w:rPr>
                <w:t>docum</w:t>
              </w:r>
              <w:bookmarkStart w:id="0" w:name="_GoBack"/>
              <w:bookmarkEnd w:id="0"/>
              <w:r w:rsidRPr="001F5F06">
                <w:rPr>
                  <w:rStyle w:val="Hyperlink"/>
                  <w:rFonts w:ascii="Arial" w:hAnsi="Arial" w:cs="Arial"/>
                </w:rPr>
                <w:t>e</w:t>
              </w:r>
              <w:r w:rsidRPr="001F5F06">
                <w:rPr>
                  <w:rStyle w:val="Hyperlink"/>
                  <w:rFonts w:ascii="Arial" w:hAnsi="Arial" w:cs="Arial"/>
                </w:rPr>
                <w:t>nt</w:t>
              </w:r>
            </w:hyperlink>
          </w:p>
        </w:tc>
      </w:tr>
      <w:tr w:rsidR="00CB1EB3" w:rsidTr="00AF7C6A">
        <w:tc>
          <w:tcPr>
            <w:tcW w:w="1129" w:type="dxa"/>
          </w:tcPr>
          <w:p w:rsidR="00CB1EB3" w:rsidRPr="00BC4961" w:rsidRDefault="004E0588" w:rsidP="00B125E0">
            <w:pPr>
              <w:jc w:val="center"/>
              <w:rPr>
                <w:rFonts w:ascii="Arial" w:hAnsi="Arial" w:cs="Arial"/>
              </w:rPr>
            </w:pPr>
            <w:r>
              <w:rPr>
                <w:rFonts w:ascii="Arial" w:hAnsi="Arial" w:cs="Arial"/>
              </w:rPr>
              <w:t>15</w:t>
            </w:r>
          </w:p>
        </w:tc>
        <w:tc>
          <w:tcPr>
            <w:tcW w:w="4820" w:type="dxa"/>
          </w:tcPr>
          <w:p w:rsidR="00CB1EB3" w:rsidRPr="001F5F06" w:rsidRDefault="00846337" w:rsidP="00846337">
            <w:pPr>
              <w:jc w:val="center"/>
              <w:rPr>
                <w:rFonts w:ascii="Arial" w:hAnsi="Arial" w:cs="Arial"/>
              </w:rPr>
            </w:pPr>
            <w:r w:rsidRPr="001F5F06">
              <w:rPr>
                <w:rFonts w:ascii="Arial" w:eastAsia="Times New Roman" w:hAnsi="Arial" w:cs="Arial"/>
                <w:lang w:eastAsia="en-GB"/>
              </w:rPr>
              <w:t>Use of accumulated AVCs to provide additional pension under the Scheme (AVCs contracts before 1 April 2014 and Councillor members)</w:t>
            </w:r>
          </w:p>
        </w:tc>
        <w:tc>
          <w:tcPr>
            <w:tcW w:w="6379" w:type="dxa"/>
            <w:vAlign w:val="center"/>
          </w:tcPr>
          <w:p w:rsidR="00CB1EB3" w:rsidRPr="001F5F06" w:rsidRDefault="00F84D2F" w:rsidP="00846337">
            <w:pPr>
              <w:rPr>
                <w:rFonts w:ascii="Arial" w:hAnsi="Arial" w:cs="Arial"/>
              </w:rPr>
            </w:pPr>
            <w:hyperlink w:anchor="fifteen" w:history="1">
              <w:r w:rsidR="00846337" w:rsidRPr="00797B9C">
                <w:rPr>
                  <w:rStyle w:val="Hyperlink"/>
                  <w:rFonts w:ascii="Arial" w:hAnsi="Arial" w:cs="Arial"/>
                </w:rPr>
                <w:t>The title of the guidance incorrectly includes the reference to Councillor members who are debarred</w:t>
              </w:r>
            </w:hyperlink>
          </w:p>
        </w:tc>
        <w:tc>
          <w:tcPr>
            <w:tcW w:w="1620" w:type="dxa"/>
            <w:shd w:val="clear" w:color="auto" w:fill="FFC000" w:themeFill="accent4"/>
            <w:vAlign w:val="center"/>
          </w:tcPr>
          <w:p w:rsidR="00CB1EB3" w:rsidRPr="001F5F06" w:rsidRDefault="00AF7C6A" w:rsidP="001F5F06">
            <w:pPr>
              <w:jc w:val="center"/>
              <w:rPr>
                <w:rFonts w:ascii="Arial" w:hAnsi="Arial" w:cs="Arial"/>
              </w:rPr>
            </w:pPr>
            <w:r>
              <w:rPr>
                <w:rFonts w:ascii="Arial" w:hAnsi="Arial" w:cs="Arial"/>
              </w:rPr>
              <w:t>CLOSED</w:t>
            </w:r>
          </w:p>
        </w:tc>
      </w:tr>
      <w:tr w:rsidR="00CB1EB3" w:rsidTr="00B52004">
        <w:tc>
          <w:tcPr>
            <w:tcW w:w="1129" w:type="dxa"/>
          </w:tcPr>
          <w:p w:rsidR="00CB1EB3" w:rsidRPr="00BC4961" w:rsidRDefault="00846337" w:rsidP="00B125E0">
            <w:pPr>
              <w:jc w:val="center"/>
              <w:rPr>
                <w:rFonts w:ascii="Arial" w:hAnsi="Arial" w:cs="Arial"/>
              </w:rPr>
            </w:pPr>
            <w:r>
              <w:rPr>
                <w:rFonts w:ascii="Arial" w:hAnsi="Arial" w:cs="Arial"/>
              </w:rPr>
              <w:t>17</w:t>
            </w:r>
          </w:p>
        </w:tc>
        <w:tc>
          <w:tcPr>
            <w:tcW w:w="4820" w:type="dxa"/>
          </w:tcPr>
          <w:p w:rsidR="00CB1EB3" w:rsidRPr="001F5F06" w:rsidRDefault="00846337" w:rsidP="00B125E0">
            <w:pPr>
              <w:jc w:val="center"/>
              <w:rPr>
                <w:rFonts w:ascii="Arial" w:hAnsi="Arial" w:cs="Arial"/>
              </w:rPr>
            </w:pPr>
            <w:r w:rsidRPr="001F5F06">
              <w:rPr>
                <w:rFonts w:ascii="Arial" w:hAnsi="Arial" w:cs="Arial"/>
              </w:rPr>
              <w:t>Interfund transfers</w:t>
            </w:r>
          </w:p>
        </w:tc>
        <w:tc>
          <w:tcPr>
            <w:tcW w:w="6379" w:type="dxa"/>
            <w:vAlign w:val="center"/>
          </w:tcPr>
          <w:p w:rsidR="00CB1EB3" w:rsidRPr="001F5F06" w:rsidRDefault="00F84D2F" w:rsidP="00846337">
            <w:pPr>
              <w:rPr>
                <w:rFonts w:ascii="Arial" w:hAnsi="Arial" w:cs="Arial"/>
              </w:rPr>
            </w:pPr>
            <w:hyperlink w:anchor="seventeen" w:history="1">
              <w:r w:rsidR="00846337" w:rsidRPr="00797B9C">
                <w:rPr>
                  <w:rStyle w:val="Hyperlink"/>
                  <w:rFonts w:ascii="Arial" w:hAnsi="Arial" w:cs="Arial"/>
                </w:rPr>
                <w:t>Correction to wording in paragraph 3.8(a) required</w:t>
              </w:r>
            </w:hyperlink>
          </w:p>
        </w:tc>
        <w:tc>
          <w:tcPr>
            <w:tcW w:w="1620" w:type="dxa"/>
            <w:shd w:val="clear" w:color="auto" w:fill="FFC000"/>
            <w:vAlign w:val="center"/>
          </w:tcPr>
          <w:p w:rsidR="00CB1EB3" w:rsidRPr="001F5F06" w:rsidRDefault="00B52004" w:rsidP="001F5F06">
            <w:pPr>
              <w:jc w:val="center"/>
              <w:rPr>
                <w:rFonts w:ascii="Arial" w:hAnsi="Arial" w:cs="Arial"/>
              </w:rPr>
            </w:pPr>
            <w:r>
              <w:rPr>
                <w:rFonts w:ascii="Arial" w:hAnsi="Arial" w:cs="Arial"/>
              </w:rPr>
              <w:t>CLOSED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19</w:t>
            </w:r>
          </w:p>
        </w:tc>
        <w:tc>
          <w:tcPr>
            <w:tcW w:w="4820" w:type="dxa"/>
          </w:tcPr>
          <w:p w:rsidR="00CB1EB3" w:rsidRPr="001F5F06" w:rsidRDefault="00846337" w:rsidP="00B125E0">
            <w:pPr>
              <w:jc w:val="center"/>
              <w:rPr>
                <w:rFonts w:ascii="Arial" w:hAnsi="Arial" w:cs="Arial"/>
              </w:rPr>
            </w:pPr>
            <w:r w:rsidRPr="001F5F06">
              <w:rPr>
                <w:rFonts w:ascii="Arial" w:hAnsi="Arial" w:cs="Arial"/>
              </w:rPr>
              <w:t>Pension Debits</w:t>
            </w:r>
          </w:p>
        </w:tc>
        <w:tc>
          <w:tcPr>
            <w:tcW w:w="6379" w:type="dxa"/>
            <w:vAlign w:val="center"/>
          </w:tcPr>
          <w:p w:rsidR="00CB1EB3" w:rsidRPr="001F5F06" w:rsidRDefault="00F84D2F" w:rsidP="00846337">
            <w:pPr>
              <w:rPr>
                <w:rFonts w:ascii="Arial" w:hAnsi="Arial" w:cs="Arial"/>
              </w:rPr>
            </w:pPr>
            <w:hyperlink w:anchor="nineteen" w:history="1">
              <w:r w:rsidR="00846337" w:rsidRPr="00797B9C">
                <w:rPr>
                  <w:rStyle w:val="Hyperlink"/>
                  <w:rFonts w:ascii="Arial" w:hAnsi="Arial" w:cs="Arial"/>
                </w:rPr>
                <w:t>Pension debits of 100% leave deferred members with a residual amount of PI payable</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F84D2F">
        <w:tc>
          <w:tcPr>
            <w:tcW w:w="1129" w:type="dxa"/>
          </w:tcPr>
          <w:p w:rsidR="00CB1EB3" w:rsidRPr="00BC4961" w:rsidRDefault="00846337" w:rsidP="00B125E0">
            <w:pPr>
              <w:jc w:val="center"/>
              <w:rPr>
                <w:rFonts w:ascii="Arial" w:hAnsi="Arial" w:cs="Arial"/>
              </w:rPr>
            </w:pPr>
            <w:r>
              <w:rPr>
                <w:rFonts w:ascii="Arial" w:hAnsi="Arial" w:cs="Arial"/>
              </w:rPr>
              <w:t>20</w:t>
            </w:r>
          </w:p>
        </w:tc>
        <w:tc>
          <w:tcPr>
            <w:tcW w:w="4820" w:type="dxa"/>
          </w:tcPr>
          <w:p w:rsidR="00CB1EB3" w:rsidRPr="001F5F06" w:rsidRDefault="00846337" w:rsidP="00B125E0">
            <w:pPr>
              <w:jc w:val="center"/>
              <w:rPr>
                <w:rFonts w:ascii="Arial" w:hAnsi="Arial" w:cs="Arial"/>
              </w:rPr>
            </w:pPr>
            <w:r w:rsidRPr="001F5F06">
              <w:rPr>
                <w:rFonts w:ascii="Arial" w:eastAsia="Times New Roman" w:hAnsi="Arial" w:cs="Arial"/>
                <w:lang w:eastAsia="en-GB"/>
              </w:rPr>
              <w:t>Limit on total amount of benefits – Lifetime allowance</w:t>
            </w:r>
          </w:p>
        </w:tc>
        <w:tc>
          <w:tcPr>
            <w:tcW w:w="6379" w:type="dxa"/>
            <w:vAlign w:val="center"/>
          </w:tcPr>
          <w:p w:rsidR="00CB1EB3" w:rsidRPr="001F5F06" w:rsidRDefault="00F84D2F" w:rsidP="00846337">
            <w:pPr>
              <w:rPr>
                <w:rFonts w:ascii="Arial" w:hAnsi="Arial" w:cs="Arial"/>
              </w:rPr>
            </w:pPr>
            <w:hyperlink w:anchor="twenty" w:history="1">
              <w:r w:rsidR="001F5F06" w:rsidRPr="00797B9C">
                <w:rPr>
                  <w:rStyle w:val="Hyperlink"/>
                  <w:rFonts w:ascii="Arial" w:hAnsi="Arial" w:cs="Arial"/>
                </w:rPr>
                <w:t>How should a lifetime allowance scheme pays deduction be apportioned across the different tranches of membership?</w:t>
              </w:r>
            </w:hyperlink>
          </w:p>
        </w:tc>
        <w:tc>
          <w:tcPr>
            <w:tcW w:w="1620" w:type="dxa"/>
            <w:shd w:val="clear" w:color="auto" w:fill="auto"/>
            <w:vAlign w:val="center"/>
          </w:tcPr>
          <w:p w:rsidR="00CB1EB3" w:rsidRPr="001F5F06" w:rsidRDefault="00F84D2F" w:rsidP="001F5F06">
            <w:pPr>
              <w:jc w:val="center"/>
              <w:rPr>
                <w:rFonts w:ascii="Arial" w:hAnsi="Arial" w:cs="Arial"/>
              </w:rPr>
            </w:pPr>
            <w:r>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22</w:t>
            </w:r>
          </w:p>
        </w:tc>
        <w:tc>
          <w:tcPr>
            <w:tcW w:w="4820" w:type="dxa"/>
          </w:tcPr>
          <w:p w:rsidR="00CB1EB3" w:rsidRPr="001F5F06" w:rsidRDefault="001F5F06" w:rsidP="00B125E0">
            <w:pPr>
              <w:jc w:val="center"/>
              <w:rPr>
                <w:rFonts w:ascii="Arial" w:hAnsi="Arial" w:cs="Arial"/>
              </w:rPr>
            </w:pPr>
            <w:r w:rsidRPr="001F5F06">
              <w:rPr>
                <w:rFonts w:ascii="Arial" w:eastAsia="Times New Roman" w:hAnsi="Arial" w:cs="Arial"/>
                <w:lang w:eastAsia="en-GB"/>
              </w:rPr>
              <w:t>Individual Incoming &amp; Outgoing Transfers</w:t>
            </w:r>
          </w:p>
        </w:tc>
        <w:tc>
          <w:tcPr>
            <w:tcW w:w="6379" w:type="dxa"/>
            <w:vAlign w:val="center"/>
          </w:tcPr>
          <w:p w:rsidR="00CB1EB3" w:rsidRPr="001F5F06" w:rsidRDefault="00F84D2F" w:rsidP="00846337">
            <w:pPr>
              <w:rPr>
                <w:rFonts w:ascii="Arial" w:hAnsi="Arial" w:cs="Arial"/>
              </w:rPr>
            </w:pPr>
            <w:hyperlink w:anchor="twentytwo" w:history="1">
              <w:r w:rsidR="001F5F06" w:rsidRPr="00797B9C">
                <w:rPr>
                  <w:rStyle w:val="Hyperlink"/>
                  <w:rFonts w:ascii="Arial" w:hAnsi="Arial" w:cs="Arial"/>
                </w:rPr>
                <w:t>Guidance needs to be updated to take into account the revised Club memorandum</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26</w:t>
            </w:r>
          </w:p>
        </w:tc>
        <w:tc>
          <w:tcPr>
            <w:tcW w:w="4820" w:type="dxa"/>
          </w:tcPr>
          <w:p w:rsidR="00CB1EB3" w:rsidRPr="001F5F06" w:rsidRDefault="001F5F06" w:rsidP="00B125E0">
            <w:pPr>
              <w:jc w:val="center"/>
              <w:rPr>
                <w:rFonts w:ascii="Arial" w:hAnsi="Arial" w:cs="Arial"/>
              </w:rPr>
            </w:pPr>
            <w:r w:rsidRPr="001F5F06">
              <w:rPr>
                <w:rFonts w:ascii="Arial" w:hAnsi="Arial" w:cs="Arial"/>
              </w:rPr>
              <w:t>Scotland – Interfund Adjustments</w:t>
            </w:r>
          </w:p>
        </w:tc>
        <w:tc>
          <w:tcPr>
            <w:tcW w:w="6379" w:type="dxa"/>
            <w:vAlign w:val="center"/>
          </w:tcPr>
          <w:p w:rsidR="00CB1EB3" w:rsidRPr="001F5F06" w:rsidRDefault="00F84D2F" w:rsidP="00846337">
            <w:pPr>
              <w:rPr>
                <w:rFonts w:ascii="Arial" w:hAnsi="Arial" w:cs="Arial"/>
              </w:rPr>
            </w:pPr>
            <w:hyperlink w:anchor="twentysix" w:history="1">
              <w:r w:rsidR="001F5F06" w:rsidRPr="00797B9C">
                <w:rPr>
                  <w:rStyle w:val="Hyperlink"/>
                  <w:rFonts w:ascii="Arial" w:hAnsi="Arial" w:cs="Arial"/>
                </w:rPr>
                <w:t xml:space="preserve">Methodology used in Scottish </w:t>
              </w:r>
              <w:proofErr w:type="spellStart"/>
              <w:r w:rsidR="001F5F06" w:rsidRPr="00797B9C">
                <w:rPr>
                  <w:rStyle w:val="Hyperlink"/>
                  <w:rFonts w:ascii="Arial" w:hAnsi="Arial" w:cs="Arial"/>
                </w:rPr>
                <w:t>interfunds</w:t>
              </w:r>
              <w:proofErr w:type="spellEnd"/>
              <w:r w:rsidR="001F5F06" w:rsidRPr="00797B9C">
                <w:rPr>
                  <w:rStyle w:val="Hyperlink"/>
                  <w:rFonts w:ascii="Arial" w:hAnsi="Arial" w:cs="Arial"/>
                </w:rPr>
                <w:t xml:space="preserve"> is different to that in E&amp;W</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0F7854">
        <w:tc>
          <w:tcPr>
            <w:tcW w:w="1129" w:type="dxa"/>
          </w:tcPr>
          <w:p w:rsidR="00CB1EB3" w:rsidRPr="00BC4961" w:rsidRDefault="001F5F06" w:rsidP="00B125E0">
            <w:pPr>
              <w:jc w:val="center"/>
              <w:rPr>
                <w:rFonts w:ascii="Arial" w:hAnsi="Arial" w:cs="Arial"/>
              </w:rPr>
            </w:pPr>
            <w:r>
              <w:rPr>
                <w:rFonts w:ascii="Arial" w:hAnsi="Arial" w:cs="Arial"/>
              </w:rPr>
              <w:t>27</w:t>
            </w:r>
          </w:p>
        </w:tc>
        <w:tc>
          <w:tcPr>
            <w:tcW w:w="4820" w:type="dxa"/>
          </w:tcPr>
          <w:p w:rsidR="00CB1EB3" w:rsidRPr="001F5F06" w:rsidRDefault="001F5F06" w:rsidP="00B125E0">
            <w:pPr>
              <w:jc w:val="center"/>
              <w:rPr>
                <w:rFonts w:ascii="Arial" w:hAnsi="Arial" w:cs="Arial"/>
              </w:rPr>
            </w:pPr>
            <w:r w:rsidRPr="001F5F06">
              <w:rPr>
                <w:rFonts w:ascii="Arial" w:hAnsi="Arial" w:cs="Arial"/>
              </w:rPr>
              <w:t>Limit on additional cash commutation</w:t>
            </w:r>
          </w:p>
        </w:tc>
        <w:tc>
          <w:tcPr>
            <w:tcW w:w="6379" w:type="dxa"/>
            <w:vAlign w:val="center"/>
          </w:tcPr>
          <w:p w:rsidR="00CB1EB3" w:rsidRPr="001F5F06" w:rsidRDefault="00F84D2F" w:rsidP="00846337">
            <w:pPr>
              <w:rPr>
                <w:rFonts w:ascii="Arial" w:hAnsi="Arial" w:cs="Arial"/>
              </w:rPr>
            </w:pPr>
            <w:hyperlink w:anchor="twentyseven" w:history="1">
              <w:r w:rsidR="001F5F06" w:rsidRPr="00797B9C">
                <w:rPr>
                  <w:rStyle w:val="Hyperlink"/>
                  <w:rFonts w:ascii="Arial" w:hAnsi="Arial" w:cs="Arial"/>
                </w:rPr>
                <w:t>Formula used to calculate maximum tax free cash</w:t>
              </w:r>
            </w:hyperlink>
          </w:p>
        </w:tc>
        <w:tc>
          <w:tcPr>
            <w:tcW w:w="1620" w:type="dxa"/>
            <w:vAlign w:val="center"/>
          </w:tcPr>
          <w:p w:rsidR="00CB1EB3" w:rsidRPr="001F5F06" w:rsidRDefault="001F5F06" w:rsidP="001F5F06">
            <w:pPr>
              <w:jc w:val="center"/>
              <w:rPr>
                <w:rFonts w:ascii="Arial" w:hAnsi="Arial" w:cs="Arial"/>
              </w:rPr>
            </w:pPr>
            <w:r w:rsidRPr="001F5F06">
              <w:rPr>
                <w:rFonts w:ascii="Arial" w:hAnsi="Arial" w:cs="Arial"/>
              </w:rPr>
              <w:t>With GAD</w:t>
            </w:r>
          </w:p>
        </w:tc>
      </w:tr>
      <w:tr w:rsidR="00CB1EB3" w:rsidTr="00A77A81">
        <w:tc>
          <w:tcPr>
            <w:tcW w:w="1129" w:type="dxa"/>
          </w:tcPr>
          <w:p w:rsidR="00CB1EB3" w:rsidRPr="00BC4961" w:rsidRDefault="001F5F06" w:rsidP="00B125E0">
            <w:pPr>
              <w:jc w:val="center"/>
              <w:rPr>
                <w:rFonts w:ascii="Arial" w:hAnsi="Arial" w:cs="Arial"/>
              </w:rPr>
            </w:pPr>
            <w:r>
              <w:rPr>
                <w:rFonts w:ascii="Arial" w:hAnsi="Arial" w:cs="Arial"/>
              </w:rPr>
              <w:t>28</w:t>
            </w:r>
          </w:p>
        </w:tc>
        <w:tc>
          <w:tcPr>
            <w:tcW w:w="4820" w:type="dxa"/>
          </w:tcPr>
          <w:p w:rsidR="00CB1EB3" w:rsidRPr="00BC4961" w:rsidRDefault="001F5F06" w:rsidP="00B125E0">
            <w:pPr>
              <w:jc w:val="center"/>
              <w:rPr>
                <w:rFonts w:ascii="Arial" w:hAnsi="Arial" w:cs="Arial"/>
              </w:rPr>
            </w:pPr>
            <w:r>
              <w:rPr>
                <w:rFonts w:ascii="Arial" w:hAnsi="Arial" w:cs="Arial"/>
              </w:rPr>
              <w:t>Individual Incoming and Outgoing transfers</w:t>
            </w:r>
          </w:p>
        </w:tc>
        <w:tc>
          <w:tcPr>
            <w:tcW w:w="6379" w:type="dxa"/>
            <w:vAlign w:val="center"/>
          </w:tcPr>
          <w:p w:rsidR="00CB1EB3" w:rsidRPr="001F5F06" w:rsidRDefault="00F84D2F" w:rsidP="00846337">
            <w:pPr>
              <w:rPr>
                <w:rFonts w:ascii="Arial" w:hAnsi="Arial" w:cs="Arial"/>
              </w:rPr>
            </w:pPr>
            <w:hyperlink w:anchor="twentyeight" w:history="1">
              <w:r w:rsidR="001F5F06" w:rsidRPr="00797B9C">
                <w:rPr>
                  <w:rStyle w:val="Hyperlink"/>
                  <w:rFonts w:ascii="Arial" w:hAnsi="Arial" w:cs="Arial"/>
                </w:rPr>
                <w:t>Valuing protected rights – do we need to refer each case to GAD?</w:t>
              </w:r>
            </w:hyperlink>
          </w:p>
        </w:tc>
        <w:tc>
          <w:tcPr>
            <w:tcW w:w="1620" w:type="dxa"/>
            <w:shd w:val="clear" w:color="auto" w:fill="FFC000"/>
            <w:vAlign w:val="center"/>
          </w:tcPr>
          <w:p w:rsidR="00CB1EB3" w:rsidRPr="00BC4961" w:rsidRDefault="00A77A81" w:rsidP="001F5F06">
            <w:pPr>
              <w:jc w:val="center"/>
              <w:rPr>
                <w:rFonts w:ascii="Arial" w:hAnsi="Arial" w:cs="Arial"/>
              </w:rPr>
            </w:pPr>
            <w:r>
              <w:rPr>
                <w:rFonts w:ascii="Arial" w:hAnsi="Arial" w:cs="Arial"/>
              </w:rPr>
              <w:t>CLOSED</w:t>
            </w:r>
          </w:p>
        </w:tc>
      </w:tr>
      <w:tr w:rsidR="001F5F06" w:rsidTr="000F7854">
        <w:tc>
          <w:tcPr>
            <w:tcW w:w="1129" w:type="dxa"/>
          </w:tcPr>
          <w:p w:rsidR="001F5F06" w:rsidRDefault="001F5F06" w:rsidP="00B125E0">
            <w:pPr>
              <w:jc w:val="center"/>
              <w:rPr>
                <w:rFonts w:ascii="Arial" w:hAnsi="Arial" w:cs="Arial"/>
              </w:rPr>
            </w:pPr>
            <w:r>
              <w:rPr>
                <w:rFonts w:ascii="Arial" w:hAnsi="Arial" w:cs="Arial"/>
              </w:rPr>
              <w:t>29</w:t>
            </w:r>
          </w:p>
        </w:tc>
        <w:tc>
          <w:tcPr>
            <w:tcW w:w="4820" w:type="dxa"/>
          </w:tcPr>
          <w:p w:rsidR="001F5F06" w:rsidRDefault="001F5F06" w:rsidP="00B125E0">
            <w:pPr>
              <w:jc w:val="center"/>
              <w:rPr>
                <w:rFonts w:ascii="Arial" w:hAnsi="Arial" w:cs="Arial"/>
              </w:rPr>
            </w:pPr>
            <w:r>
              <w:rPr>
                <w:rFonts w:ascii="Arial" w:hAnsi="Arial" w:cs="Arial"/>
              </w:rPr>
              <w:t>Limit on additional cash commutation</w:t>
            </w:r>
          </w:p>
        </w:tc>
        <w:tc>
          <w:tcPr>
            <w:tcW w:w="6379" w:type="dxa"/>
            <w:vAlign w:val="center"/>
          </w:tcPr>
          <w:p w:rsidR="001F5F06" w:rsidRPr="001F5F06" w:rsidRDefault="00F84D2F" w:rsidP="00846337">
            <w:pPr>
              <w:rPr>
                <w:rFonts w:ascii="Arial" w:hAnsi="Arial" w:cs="Arial"/>
              </w:rPr>
            </w:pPr>
            <w:hyperlink w:anchor="twentynine" w:history="1">
              <w:r w:rsidR="001F5F06" w:rsidRPr="00797B9C">
                <w:rPr>
                  <w:rStyle w:val="Hyperlink"/>
                  <w:rFonts w:ascii="Arial" w:hAnsi="Arial" w:cs="Arial"/>
                </w:rPr>
                <w:t>Different treatment of pre and post 2014 AVC contracts</w:t>
              </w:r>
            </w:hyperlink>
          </w:p>
        </w:tc>
        <w:tc>
          <w:tcPr>
            <w:tcW w:w="1620" w:type="dxa"/>
            <w:vAlign w:val="center"/>
          </w:tcPr>
          <w:p w:rsidR="001F5F06" w:rsidRDefault="001F5F06" w:rsidP="001F5F06">
            <w:pPr>
              <w:jc w:val="center"/>
              <w:rPr>
                <w:rFonts w:ascii="Arial" w:hAnsi="Arial" w:cs="Arial"/>
              </w:rPr>
            </w:pPr>
            <w:r>
              <w:rPr>
                <w:rFonts w:ascii="Arial" w:hAnsi="Arial" w:cs="Arial"/>
              </w:rPr>
              <w:t>With GAD</w:t>
            </w:r>
          </w:p>
        </w:tc>
      </w:tr>
      <w:tr w:rsidR="00403799" w:rsidTr="000F7854">
        <w:tc>
          <w:tcPr>
            <w:tcW w:w="1129" w:type="dxa"/>
          </w:tcPr>
          <w:p w:rsidR="00403799" w:rsidRDefault="00403799" w:rsidP="00B125E0">
            <w:pPr>
              <w:jc w:val="center"/>
              <w:rPr>
                <w:rFonts w:ascii="Arial" w:hAnsi="Arial" w:cs="Arial"/>
              </w:rPr>
            </w:pPr>
            <w:r>
              <w:rPr>
                <w:rFonts w:ascii="Arial" w:hAnsi="Arial" w:cs="Arial"/>
              </w:rPr>
              <w:t>30</w:t>
            </w:r>
          </w:p>
        </w:tc>
        <w:tc>
          <w:tcPr>
            <w:tcW w:w="4820" w:type="dxa"/>
          </w:tcPr>
          <w:p w:rsidR="00403799" w:rsidRDefault="00403799" w:rsidP="00B125E0">
            <w:pPr>
              <w:jc w:val="center"/>
              <w:rPr>
                <w:rFonts w:ascii="Arial" w:hAnsi="Arial" w:cs="Arial"/>
              </w:rPr>
            </w:pPr>
            <w:r>
              <w:rPr>
                <w:rFonts w:ascii="Arial" w:hAnsi="Arial" w:cs="Arial"/>
              </w:rPr>
              <w:t>Limit on total amount of benefits – Lifetime allowance</w:t>
            </w:r>
          </w:p>
        </w:tc>
        <w:tc>
          <w:tcPr>
            <w:tcW w:w="6379" w:type="dxa"/>
            <w:vAlign w:val="center"/>
          </w:tcPr>
          <w:p w:rsidR="00403799" w:rsidRPr="000F7854" w:rsidRDefault="00F84D2F" w:rsidP="000F7854">
            <w:pPr>
              <w:rPr>
                <w:rFonts w:ascii="Arial" w:hAnsi="Arial" w:cs="Arial"/>
              </w:rPr>
            </w:pPr>
            <w:hyperlink w:anchor="thirty" w:history="1">
              <w:r w:rsidR="000F7854" w:rsidRPr="009C4270">
                <w:rPr>
                  <w:rStyle w:val="Hyperlink"/>
                  <w:rFonts w:ascii="Arial" w:hAnsi="Arial" w:cs="Arial"/>
                </w:rPr>
                <w:t>Guidance makes no reference to restrictions on commuting GMP/Section 9(2B) rights when taking a LTA excess lump sum</w:t>
              </w:r>
            </w:hyperlink>
          </w:p>
        </w:tc>
        <w:tc>
          <w:tcPr>
            <w:tcW w:w="1620" w:type="dxa"/>
            <w:vAlign w:val="center"/>
          </w:tcPr>
          <w:p w:rsidR="00403799" w:rsidRDefault="000F7854" w:rsidP="001F5F06">
            <w:pPr>
              <w:jc w:val="center"/>
              <w:rPr>
                <w:rFonts w:ascii="Arial" w:hAnsi="Arial" w:cs="Arial"/>
              </w:rPr>
            </w:pPr>
            <w:r>
              <w:rPr>
                <w:rFonts w:ascii="Arial" w:hAnsi="Arial" w:cs="Arial"/>
              </w:rPr>
              <w:t>With GAD</w:t>
            </w:r>
          </w:p>
        </w:tc>
      </w:tr>
    </w:tbl>
    <w:p w:rsidR="00CB1EB3" w:rsidRDefault="00CB1EB3" w:rsidP="00B125E0">
      <w:pPr>
        <w:jc w:val="center"/>
        <w:rPr>
          <w:rFonts w:ascii="Arial" w:hAnsi="Arial" w:cs="Arial"/>
          <w:sz w:val="32"/>
          <w:szCs w:val="32"/>
        </w:rPr>
      </w:pPr>
    </w:p>
    <w:p w:rsidR="00797B9C" w:rsidRDefault="00797B9C" w:rsidP="00B125E0">
      <w:pPr>
        <w:jc w:val="center"/>
        <w:rPr>
          <w:rFonts w:ascii="Arial" w:hAnsi="Arial" w:cs="Arial"/>
          <w:sz w:val="32"/>
          <w:szCs w:val="32"/>
        </w:rPr>
      </w:pPr>
    </w:p>
    <w:tbl>
      <w:tblPr>
        <w:tblStyle w:val="GridTable4-Accent3"/>
        <w:tblW w:w="0" w:type="auto"/>
        <w:tblLook w:val="04A0" w:firstRow="1" w:lastRow="0" w:firstColumn="1" w:lastColumn="0" w:noHBand="0" w:noVBand="1"/>
      </w:tblPr>
      <w:tblGrid>
        <w:gridCol w:w="1555"/>
        <w:gridCol w:w="7087"/>
        <w:gridCol w:w="5306"/>
      </w:tblGrid>
      <w:tr w:rsidR="00B125E0"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vAlign w:val="center"/>
          </w:tcPr>
          <w:p w:rsidR="00B125E0" w:rsidRPr="00CB40A9" w:rsidRDefault="00B125E0" w:rsidP="003C2E33">
            <w:pPr>
              <w:jc w:val="center"/>
              <w:rPr>
                <w:rFonts w:ascii="Arial" w:hAnsi="Arial" w:cs="Arial"/>
                <w:sz w:val="36"/>
                <w:szCs w:val="36"/>
              </w:rPr>
            </w:pPr>
            <w:r w:rsidRPr="00CB40A9">
              <w:rPr>
                <w:rFonts w:ascii="Arial" w:hAnsi="Arial" w:cs="Arial"/>
                <w:sz w:val="36"/>
                <w:szCs w:val="36"/>
              </w:rPr>
              <w:t>Guidance</w:t>
            </w:r>
          </w:p>
        </w:tc>
        <w:tc>
          <w:tcPr>
            <w:tcW w:w="5306" w:type="dxa"/>
            <w:vAlign w:val="center"/>
          </w:tcPr>
          <w:p w:rsidR="00B125E0"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E92034" w:rsidTr="003C2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shd w:val="clear" w:color="auto" w:fill="002060"/>
            <w:vAlign w:val="center"/>
          </w:tcPr>
          <w:p w:rsidR="00B125E0" w:rsidRPr="00E92034" w:rsidRDefault="009E4582" w:rsidP="003C2E33">
            <w:pPr>
              <w:jc w:val="center"/>
              <w:rPr>
                <w:rFonts w:ascii="Arial" w:hAnsi="Arial" w:cs="Arial"/>
                <w:sz w:val="28"/>
                <w:szCs w:val="28"/>
              </w:rPr>
            </w:pPr>
            <w:r>
              <w:rPr>
                <w:rFonts w:ascii="Arial" w:hAnsi="Arial" w:cs="Arial"/>
                <w:sz w:val="28"/>
                <w:szCs w:val="28"/>
              </w:rPr>
              <w:t xml:space="preserve">E&amp;W  - </w:t>
            </w:r>
            <w:r w:rsidR="00B125E0" w:rsidRPr="00E92034">
              <w:rPr>
                <w:rFonts w:ascii="Arial" w:hAnsi="Arial" w:cs="Arial"/>
                <w:sz w:val="28"/>
                <w:szCs w:val="28"/>
              </w:rPr>
              <w:t>Limit on additional cash commutation</w:t>
            </w:r>
          </w:p>
        </w:tc>
        <w:tc>
          <w:tcPr>
            <w:tcW w:w="5306" w:type="dxa"/>
            <w:shd w:val="clear" w:color="auto" w:fill="002060"/>
            <w:vAlign w:val="center"/>
          </w:tcPr>
          <w:p w:rsidR="00B125E0" w:rsidRPr="00643BA9" w:rsidRDefault="00B125E0"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643BA9">
              <w:rPr>
                <w:rFonts w:ascii="Arial" w:hAnsi="Arial" w:cs="Arial"/>
                <w:b/>
                <w:sz w:val="28"/>
                <w:szCs w:val="28"/>
              </w:rPr>
              <w:t>26/03/2014 – amended up to July 2015</w:t>
            </w:r>
          </w:p>
        </w:tc>
      </w:tr>
      <w:tr w:rsidR="00B125E0" w:rsidTr="001F5F06">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B125E0" w:rsidRDefault="00DC753A" w:rsidP="00B125E0">
            <w:pPr>
              <w:rPr>
                <w:rFonts w:ascii="Arial" w:hAnsi="Arial" w:cs="Arial"/>
                <w:sz w:val="24"/>
                <w:szCs w:val="24"/>
              </w:rPr>
            </w:pPr>
            <w:r>
              <w:rPr>
                <w:rFonts w:ascii="Arial" w:hAnsi="Arial" w:cs="Arial"/>
                <w:sz w:val="24"/>
                <w:szCs w:val="24"/>
              </w:rPr>
              <w:t>Query 2</w:t>
            </w:r>
            <w:r w:rsidR="003A2579">
              <w:rPr>
                <w:rFonts w:ascii="Arial" w:hAnsi="Arial" w:cs="Arial"/>
                <w:sz w:val="24"/>
                <w:szCs w:val="24"/>
              </w:rPr>
              <w:t xml:space="preserve">. </w:t>
            </w:r>
            <w:bookmarkStart w:id="1" w:name="two"/>
            <w:bookmarkEnd w:id="1"/>
          </w:p>
        </w:tc>
        <w:tc>
          <w:tcPr>
            <w:tcW w:w="12393" w:type="dxa"/>
            <w:gridSpan w:val="2"/>
          </w:tcPr>
          <w:p w:rsidR="00B125E0" w:rsidRPr="00F560B2" w:rsidRDefault="00140C49"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560B2">
              <w:rPr>
                <w:rFonts w:ascii="Arial" w:hAnsi="Arial" w:cs="Arial"/>
                <w:b/>
                <w:sz w:val="24"/>
                <w:szCs w:val="24"/>
              </w:rPr>
              <w:t>Use of AVC funds at retirement</w:t>
            </w:r>
            <w:r w:rsidR="00F560B2">
              <w:rPr>
                <w:rFonts w:ascii="Arial" w:hAnsi="Arial" w:cs="Arial"/>
                <w:b/>
                <w:sz w:val="24"/>
                <w:szCs w:val="24"/>
              </w:rPr>
              <w:t xml:space="preserve"> </w:t>
            </w:r>
          </w:p>
        </w:tc>
      </w:tr>
      <w:tr w:rsidR="00140C49" w:rsidTr="00E92034">
        <w:trPr>
          <w:cnfStyle w:val="000000100000" w:firstRow="0" w:lastRow="0" w:firstColumn="0" w:lastColumn="0" w:oddVBand="0" w:evenVBand="0" w:oddHBand="1" w:evenHBand="0" w:firstRowFirstColumn="0" w:firstRowLastColumn="0" w:lastRowFirstColumn="0" w:lastRowLastColumn="0"/>
          <w:trHeight w:val="3688"/>
        </w:trPr>
        <w:tc>
          <w:tcPr>
            <w:cnfStyle w:val="001000000000" w:firstRow="0" w:lastRow="0" w:firstColumn="1" w:lastColumn="0" w:oddVBand="0" w:evenVBand="0" w:oddHBand="0" w:evenHBand="0" w:firstRowFirstColumn="0" w:firstRowLastColumn="0" w:lastRowFirstColumn="0" w:lastRowLastColumn="0"/>
            <w:tcW w:w="13948" w:type="dxa"/>
            <w:gridSpan w:val="3"/>
          </w:tcPr>
          <w:p w:rsidR="00140C49" w:rsidRDefault="00140C49" w:rsidP="00B125E0">
            <w:pPr>
              <w:rPr>
                <w:rFonts w:ascii="Arial" w:hAnsi="Arial" w:cs="Arial"/>
                <w:sz w:val="24"/>
                <w:szCs w:val="24"/>
              </w:rPr>
            </w:pPr>
            <w:r>
              <w:rPr>
                <w:rFonts w:ascii="Arial" w:hAnsi="Arial" w:cs="Arial"/>
                <w:sz w:val="24"/>
                <w:szCs w:val="24"/>
              </w:rPr>
              <w:t>Brief description:</w:t>
            </w:r>
          </w:p>
          <w:p w:rsidR="00140C49" w:rsidRDefault="00E8023E" w:rsidP="00B125E0">
            <w:pPr>
              <w:rPr>
                <w:rFonts w:ascii="Arial" w:hAnsi="Arial" w:cs="Arial"/>
                <w:b w:val="0"/>
                <w:sz w:val="24"/>
                <w:szCs w:val="24"/>
              </w:rPr>
            </w:pPr>
            <w:r>
              <w:rPr>
                <w:rFonts w:ascii="Arial" w:hAnsi="Arial" w:cs="Arial"/>
                <w:b w:val="0"/>
                <w:sz w:val="24"/>
                <w:szCs w:val="24"/>
              </w:rPr>
              <w:t xml:space="preserve">Where a member buys an annuity with an AVC excess (where the AVC cannot all be taken as tax free cash) </w:t>
            </w:r>
            <w:r w:rsidR="00EC7281">
              <w:rPr>
                <w:rFonts w:ascii="Arial" w:hAnsi="Arial" w:cs="Arial"/>
                <w:b w:val="0"/>
                <w:sz w:val="24"/>
                <w:szCs w:val="24"/>
              </w:rPr>
              <w:t>outside of the Scheme, the value</w:t>
            </w:r>
            <w:r>
              <w:rPr>
                <w:rFonts w:ascii="Arial" w:hAnsi="Arial" w:cs="Arial"/>
                <w:b w:val="0"/>
                <w:sz w:val="24"/>
                <w:szCs w:val="24"/>
              </w:rPr>
              <w:t xml:space="preserve"> of the AVC fund that is used to purchase the annuity is not used</w:t>
            </w:r>
            <w:r w:rsidRPr="00E8023E">
              <w:rPr>
                <w:rFonts w:ascii="Arial" w:hAnsi="Arial" w:cs="Arial"/>
                <w:b w:val="0"/>
                <w:sz w:val="24"/>
                <w:szCs w:val="24"/>
              </w:rPr>
              <w:t xml:space="preserve"> in the calculation </w:t>
            </w:r>
            <w:r>
              <w:rPr>
                <w:rFonts w:ascii="Arial" w:hAnsi="Arial" w:cs="Arial"/>
                <w:b w:val="0"/>
                <w:sz w:val="24"/>
                <w:szCs w:val="24"/>
              </w:rPr>
              <w:t xml:space="preserve">of the Capital Value of the LGPS benefits.  This means it is impossible to determine how much tax free cash a member can take as the administering authority would need to know what the member wanted to do with the excess AVC fund before </w:t>
            </w:r>
            <w:r w:rsidR="00EC7281">
              <w:rPr>
                <w:rFonts w:ascii="Arial" w:hAnsi="Arial" w:cs="Arial"/>
                <w:b w:val="0"/>
                <w:sz w:val="24"/>
                <w:szCs w:val="24"/>
              </w:rPr>
              <w:t>calculating</w:t>
            </w:r>
            <w:r>
              <w:rPr>
                <w:rFonts w:ascii="Arial" w:hAnsi="Arial" w:cs="Arial"/>
                <w:b w:val="0"/>
                <w:sz w:val="24"/>
                <w:szCs w:val="24"/>
              </w:rPr>
              <w:t xml:space="preserve"> the maximum lump sum. </w:t>
            </w:r>
            <w:r w:rsidR="00CB40A9">
              <w:rPr>
                <w:rFonts w:ascii="Arial" w:hAnsi="Arial" w:cs="Arial"/>
                <w:b w:val="0"/>
                <w:sz w:val="24"/>
                <w:szCs w:val="24"/>
              </w:rPr>
              <w:t xml:space="preserve"> </w:t>
            </w:r>
          </w:p>
          <w:p w:rsidR="00E8023E" w:rsidRDefault="00E8023E" w:rsidP="00B125E0">
            <w:pPr>
              <w:rPr>
                <w:rFonts w:ascii="Arial" w:hAnsi="Arial" w:cs="Arial"/>
                <w:b w:val="0"/>
                <w:sz w:val="24"/>
                <w:szCs w:val="24"/>
              </w:rPr>
            </w:pPr>
          </w:p>
          <w:p w:rsidR="00140C49" w:rsidRDefault="00F84D2F" w:rsidP="00F560B2">
            <w:pPr>
              <w:rPr>
                <w:rFonts w:ascii="Arial" w:hAnsi="Arial" w:cs="Arial"/>
                <w:b w:val="0"/>
                <w:sz w:val="24"/>
                <w:szCs w:val="24"/>
              </w:rPr>
            </w:pPr>
            <w:hyperlink r:id="rId9" w:history="1">
              <w:r w:rsidR="00EC7281" w:rsidRPr="00E92034">
                <w:rPr>
                  <w:rStyle w:val="Hyperlink"/>
                  <w:rFonts w:ascii="Arial" w:hAnsi="Arial" w:cs="Arial"/>
                  <w:b w:val="0"/>
                  <w:bCs w:val="0"/>
                  <w:sz w:val="24"/>
                  <w:szCs w:val="24"/>
                </w:rPr>
                <w:t>Previous guidance</w:t>
              </w:r>
            </w:hyperlink>
            <w:r w:rsidR="00EC7281">
              <w:rPr>
                <w:rFonts w:ascii="Arial" w:hAnsi="Arial" w:cs="Arial"/>
                <w:b w:val="0"/>
                <w:sz w:val="24"/>
                <w:szCs w:val="24"/>
              </w:rPr>
              <w:t xml:space="preserve"> referred to Type I and Type II cases </w:t>
            </w:r>
            <w:r w:rsidR="00F560B2">
              <w:rPr>
                <w:rFonts w:ascii="Arial" w:hAnsi="Arial" w:cs="Arial"/>
                <w:b w:val="0"/>
                <w:sz w:val="24"/>
                <w:szCs w:val="24"/>
              </w:rPr>
              <w:t>in relation to AVCs.  Type I being where the AVC taken at the same time as the main LGPS benefits is less than the difference between the maximum lump sum and the retirement grant from the main scheme LGPS and Type II where it was equal to or more than the difference.  This was helpful and it would be useful if a version of this could be re-introduced in the</w:t>
            </w:r>
            <w:r w:rsidR="00E92034">
              <w:rPr>
                <w:rFonts w:ascii="Arial" w:hAnsi="Arial" w:cs="Arial"/>
                <w:b w:val="0"/>
                <w:sz w:val="24"/>
                <w:szCs w:val="24"/>
              </w:rPr>
              <w:t xml:space="preserve"> current</w:t>
            </w:r>
            <w:r w:rsidR="00F560B2">
              <w:rPr>
                <w:rFonts w:ascii="Arial" w:hAnsi="Arial" w:cs="Arial"/>
                <w:b w:val="0"/>
                <w:sz w:val="24"/>
                <w:szCs w:val="24"/>
              </w:rPr>
              <w:t xml:space="preserve"> guidance. </w:t>
            </w:r>
            <w:r w:rsidR="00037F31">
              <w:rPr>
                <w:rFonts w:ascii="Arial" w:hAnsi="Arial" w:cs="Arial"/>
                <w:b w:val="0"/>
                <w:sz w:val="24"/>
                <w:szCs w:val="24"/>
              </w:rPr>
              <w:t xml:space="preserve"> Issue linked to query 29</w:t>
            </w:r>
            <w:r w:rsidR="00CB40A9">
              <w:rPr>
                <w:rFonts w:ascii="Arial" w:hAnsi="Arial" w:cs="Arial"/>
                <w:b w:val="0"/>
                <w:sz w:val="24"/>
                <w:szCs w:val="24"/>
              </w:rPr>
              <w:t xml:space="preserve"> (see below). </w:t>
            </w:r>
          </w:p>
          <w:p w:rsidR="00090538" w:rsidRDefault="00090538" w:rsidP="00F560B2">
            <w:pPr>
              <w:rPr>
                <w:rFonts w:ascii="Arial" w:hAnsi="Arial" w:cs="Arial"/>
                <w:b w:val="0"/>
                <w:sz w:val="24"/>
                <w:szCs w:val="24"/>
              </w:rPr>
            </w:pPr>
          </w:p>
          <w:p w:rsidR="00E92034" w:rsidRDefault="00E92034" w:rsidP="00E92034">
            <w:pPr>
              <w:rPr>
                <w:rFonts w:ascii="Arial" w:hAnsi="Arial" w:cs="Arial"/>
                <w:sz w:val="24"/>
                <w:szCs w:val="24"/>
              </w:rPr>
            </w:pPr>
            <w:r w:rsidRPr="00F560B2">
              <w:rPr>
                <w:rFonts w:ascii="Arial" w:hAnsi="Arial" w:cs="Arial"/>
                <w:b w:val="0"/>
                <w:sz w:val="24"/>
                <w:szCs w:val="24"/>
              </w:rPr>
              <w:t xml:space="preserve">Query first raised on 7/8/2015 – see </w:t>
            </w:r>
            <w:hyperlink r:id="rId10"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tc>
      </w:tr>
      <w:tr w:rsidR="00F560B2"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F560B2" w:rsidRDefault="00F560B2" w:rsidP="00B125E0">
            <w:pPr>
              <w:rPr>
                <w:rFonts w:ascii="Arial" w:hAnsi="Arial" w:cs="Arial"/>
                <w:b w:val="0"/>
                <w:bCs w:val="0"/>
                <w:sz w:val="24"/>
                <w:szCs w:val="24"/>
              </w:rPr>
            </w:pPr>
            <w:r>
              <w:rPr>
                <w:rFonts w:ascii="Arial" w:hAnsi="Arial" w:cs="Arial"/>
                <w:sz w:val="24"/>
                <w:szCs w:val="24"/>
              </w:rPr>
              <w:t>Query 2</w:t>
            </w:r>
            <w:r w:rsidR="00DC753A">
              <w:rPr>
                <w:rFonts w:ascii="Arial" w:hAnsi="Arial" w:cs="Arial"/>
                <w:sz w:val="24"/>
                <w:szCs w:val="24"/>
              </w:rPr>
              <w:t>7</w:t>
            </w:r>
            <w:r>
              <w:rPr>
                <w:rFonts w:ascii="Arial" w:hAnsi="Arial" w:cs="Arial"/>
                <w:sz w:val="24"/>
                <w:szCs w:val="24"/>
              </w:rPr>
              <w:t xml:space="preserve">. </w:t>
            </w:r>
            <w:bookmarkStart w:id="2" w:name="twentyseven"/>
            <w:bookmarkEnd w:id="2"/>
          </w:p>
        </w:tc>
        <w:tc>
          <w:tcPr>
            <w:tcW w:w="12393" w:type="dxa"/>
            <w:gridSpan w:val="2"/>
          </w:tcPr>
          <w:p w:rsidR="00F560B2" w:rsidRPr="00E92034" w:rsidRDefault="00E92034"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92034">
              <w:rPr>
                <w:rFonts w:ascii="Arial" w:hAnsi="Arial" w:cs="Arial"/>
                <w:b/>
                <w:sz w:val="24"/>
                <w:szCs w:val="24"/>
              </w:rPr>
              <w:t xml:space="preserve">Formula used to calculate maximum tax free cash </w:t>
            </w:r>
          </w:p>
        </w:tc>
      </w:tr>
      <w:tr w:rsidR="00E92034" w:rsidTr="00CB40A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948" w:type="dxa"/>
            <w:gridSpan w:val="3"/>
          </w:tcPr>
          <w:p w:rsidR="00E92034" w:rsidRDefault="00E92034" w:rsidP="00B125E0">
            <w:pPr>
              <w:rPr>
                <w:rFonts w:ascii="Arial" w:hAnsi="Arial" w:cs="Arial"/>
                <w:sz w:val="24"/>
                <w:szCs w:val="24"/>
              </w:rPr>
            </w:pPr>
            <w:r>
              <w:rPr>
                <w:rFonts w:ascii="Arial" w:hAnsi="Arial" w:cs="Arial"/>
                <w:sz w:val="24"/>
                <w:szCs w:val="24"/>
              </w:rPr>
              <w:t>Brief description:</w:t>
            </w:r>
          </w:p>
          <w:p w:rsidR="00E92034" w:rsidRDefault="00E92034" w:rsidP="00E92034">
            <w:pPr>
              <w:rPr>
                <w:rFonts w:ascii="Arial" w:hAnsi="Arial" w:cs="Arial"/>
                <w:b w:val="0"/>
                <w:sz w:val="24"/>
                <w:szCs w:val="24"/>
              </w:rPr>
            </w:pPr>
            <w:r w:rsidRPr="00E92034">
              <w:rPr>
                <w:rFonts w:ascii="Arial" w:hAnsi="Arial" w:cs="Arial"/>
                <w:b w:val="0"/>
                <w:sz w:val="24"/>
                <w:szCs w:val="24"/>
              </w:rPr>
              <w:t xml:space="preserve">The </w:t>
            </w:r>
            <w:hyperlink r:id="rId11" w:history="1">
              <w:r w:rsidRPr="00E92034">
                <w:rPr>
                  <w:rStyle w:val="Hyperlink"/>
                  <w:rFonts w:ascii="Arial" w:hAnsi="Arial" w:cs="Arial"/>
                  <w:b w:val="0"/>
                  <w:bCs w:val="0"/>
                  <w:sz w:val="24"/>
                  <w:szCs w:val="24"/>
                </w:rPr>
                <w:t>guidance</w:t>
              </w:r>
            </w:hyperlink>
            <w:r>
              <w:rPr>
                <w:rFonts w:ascii="Arial" w:hAnsi="Arial" w:cs="Arial"/>
                <w:b w:val="0"/>
                <w:sz w:val="24"/>
                <w:szCs w:val="24"/>
              </w:rPr>
              <w:t xml:space="preserve"> issued by GAD on 22/5/2006 </w:t>
            </w:r>
            <w:r w:rsidRPr="00E92034">
              <w:rPr>
                <w:rFonts w:ascii="Arial" w:hAnsi="Arial" w:cs="Arial"/>
                <w:b w:val="0"/>
                <w:sz w:val="24"/>
                <w:szCs w:val="24"/>
              </w:rPr>
              <w:t xml:space="preserve">provided an alternative formula for the maximum PCLS formula ([LS + (P x 20)] / 4) because this formula causes problems as it is cyclical i.e. once you think you have the answer, you will realise that the answer is already wrong (as the components of the formula have changed whilst obtaining the answer—because it is the </w:t>
            </w:r>
            <w:r w:rsidRPr="00E92034">
              <w:rPr>
                <w:rFonts w:ascii="Arial" w:hAnsi="Arial" w:cs="Arial"/>
                <w:b w:val="0"/>
                <w:bCs w:val="0"/>
                <w:iCs/>
                <w:sz w:val="24"/>
                <w:szCs w:val="24"/>
              </w:rPr>
              <w:t>post-commutation</w:t>
            </w:r>
            <w:r w:rsidRPr="00E92034">
              <w:rPr>
                <w:rFonts w:ascii="Arial" w:hAnsi="Arial" w:cs="Arial"/>
                <w:b w:val="0"/>
                <w:sz w:val="24"/>
                <w:szCs w:val="24"/>
              </w:rPr>
              <w:t xml:space="preserve"> pension that is relevant for the calculation</w:t>
            </w:r>
            <w:r>
              <w:rPr>
                <w:rFonts w:ascii="Arial" w:hAnsi="Arial" w:cs="Arial"/>
                <w:b w:val="0"/>
                <w:sz w:val="24"/>
                <w:szCs w:val="24"/>
              </w:rPr>
              <w:t xml:space="preserve">. </w:t>
            </w:r>
          </w:p>
          <w:p w:rsidR="00E92034" w:rsidRPr="00E92034" w:rsidRDefault="00E92034" w:rsidP="00E92034">
            <w:pPr>
              <w:rPr>
                <w:rFonts w:ascii="Arial" w:hAnsi="Arial" w:cs="Arial"/>
                <w:b w:val="0"/>
                <w:sz w:val="24"/>
                <w:szCs w:val="24"/>
              </w:rPr>
            </w:pPr>
          </w:p>
          <w:p w:rsidR="00E92034" w:rsidRPr="00E92034" w:rsidRDefault="00E92034" w:rsidP="00E92034">
            <w:pPr>
              <w:rPr>
                <w:rFonts w:ascii="Arial" w:hAnsi="Arial" w:cs="Arial"/>
                <w:b w:val="0"/>
                <w:sz w:val="24"/>
                <w:szCs w:val="24"/>
              </w:rPr>
            </w:pPr>
            <w:r>
              <w:rPr>
                <w:rFonts w:ascii="Arial" w:hAnsi="Arial" w:cs="Arial"/>
                <w:b w:val="0"/>
                <w:sz w:val="24"/>
                <w:szCs w:val="24"/>
              </w:rPr>
              <w:t>The alternative</w:t>
            </w:r>
            <w:r w:rsidRPr="00E92034">
              <w:rPr>
                <w:rFonts w:ascii="Arial" w:hAnsi="Arial" w:cs="Arial"/>
                <w:b w:val="0"/>
                <w:sz w:val="24"/>
                <w:szCs w:val="24"/>
              </w:rPr>
              <w:t xml:space="preserve"> methodology was carried forward into the Lifetime Allowance and Additional Cash Commutation </w:t>
            </w:r>
            <w:hyperlink r:id="rId12" w:history="1">
              <w:r w:rsidRPr="00E92034">
                <w:rPr>
                  <w:rStyle w:val="Hyperlink"/>
                  <w:rFonts w:ascii="Arial" w:hAnsi="Arial" w:cs="Arial"/>
                  <w:b w:val="0"/>
                  <w:bCs w:val="0"/>
                  <w:sz w:val="24"/>
                  <w:szCs w:val="24"/>
                </w:rPr>
                <w:t>guidance</w:t>
              </w:r>
            </w:hyperlink>
            <w:r w:rsidRPr="00E92034">
              <w:rPr>
                <w:rFonts w:ascii="Arial" w:hAnsi="Arial" w:cs="Arial"/>
                <w:b w:val="0"/>
                <w:sz w:val="24"/>
                <w:szCs w:val="24"/>
              </w:rPr>
              <w:t xml:space="preserve"> issued on 18 June 2008 but it is not included in the guidance issued on 1 March 2013 or</w:t>
            </w:r>
            <w:r>
              <w:rPr>
                <w:rFonts w:ascii="Arial" w:hAnsi="Arial" w:cs="Arial"/>
                <w:b w:val="0"/>
                <w:sz w:val="24"/>
                <w:szCs w:val="24"/>
              </w:rPr>
              <w:t xml:space="preserve"> the current guidance</w:t>
            </w:r>
            <w:r w:rsidRPr="00E92034">
              <w:rPr>
                <w:rFonts w:ascii="Arial" w:hAnsi="Arial" w:cs="Arial"/>
                <w:b w:val="0"/>
                <w:sz w:val="24"/>
                <w:szCs w:val="24"/>
              </w:rPr>
              <w:t>.  Can you please confirm why the alternative formula was removed from the guidance from 2013 onwards and if funds should still be using the methodology, as set out in the guidance on 22/5/2006, in order to avoid paying lump sums in excess of 25% of the capital value?</w:t>
            </w:r>
          </w:p>
          <w:p w:rsidR="00E92034" w:rsidRDefault="00E92034" w:rsidP="00E92034"/>
          <w:p w:rsidR="00E92034" w:rsidRDefault="00E92034" w:rsidP="00E92034">
            <w:pPr>
              <w:rPr>
                <w:rFonts w:ascii="Arial" w:hAnsi="Arial" w:cs="Arial"/>
                <w:b w:val="0"/>
                <w:sz w:val="24"/>
                <w:szCs w:val="24"/>
              </w:rPr>
            </w:pPr>
            <w:r>
              <w:rPr>
                <w:rFonts w:ascii="Arial" w:hAnsi="Arial" w:cs="Arial"/>
                <w:b w:val="0"/>
                <w:sz w:val="24"/>
                <w:szCs w:val="24"/>
              </w:rPr>
              <w:t xml:space="preserve">We note that a version of the alternative formula for maximum PCLS has remained in guidance for both Scotland and Northern Ireland.  </w:t>
            </w:r>
          </w:p>
          <w:p w:rsidR="00E92034" w:rsidRDefault="00E92034" w:rsidP="00E92034">
            <w:pPr>
              <w:rPr>
                <w:rFonts w:ascii="Arial" w:hAnsi="Arial" w:cs="Arial"/>
                <w:b w:val="0"/>
                <w:sz w:val="24"/>
                <w:szCs w:val="24"/>
              </w:rPr>
            </w:pPr>
          </w:p>
          <w:p w:rsidR="00E92034" w:rsidRDefault="00E92034" w:rsidP="00E92034">
            <w:pPr>
              <w:rPr>
                <w:rFonts w:ascii="Arial" w:hAnsi="Arial" w:cs="Arial"/>
                <w:b w:val="0"/>
                <w:sz w:val="24"/>
                <w:szCs w:val="24"/>
              </w:rPr>
            </w:pPr>
            <w:r>
              <w:rPr>
                <w:rFonts w:ascii="Arial" w:hAnsi="Arial" w:cs="Arial"/>
                <w:b w:val="0"/>
                <w:sz w:val="24"/>
                <w:szCs w:val="24"/>
              </w:rPr>
              <w:lastRenderedPageBreak/>
              <w:t xml:space="preserve">Query first raised on 22/03/2017 – see </w:t>
            </w:r>
            <w:hyperlink r:id="rId13"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w:t>
            </w:r>
          </w:p>
          <w:p w:rsidR="00DC753A" w:rsidRPr="00E92034" w:rsidRDefault="00DC753A" w:rsidP="00E92034">
            <w:pPr>
              <w:rPr>
                <w:rFonts w:ascii="Arial" w:hAnsi="Arial" w:cs="Arial"/>
                <w:b w:val="0"/>
                <w:sz w:val="24"/>
                <w:szCs w:val="24"/>
              </w:rPr>
            </w:pPr>
          </w:p>
        </w:tc>
      </w:tr>
      <w:tr w:rsidR="00090538" w:rsidTr="00DC753A">
        <w:trPr>
          <w:trHeight w:val="340"/>
        </w:trPr>
        <w:tc>
          <w:tcPr>
            <w:cnfStyle w:val="001000000000" w:firstRow="0" w:lastRow="0" w:firstColumn="1" w:lastColumn="0" w:oddVBand="0" w:evenVBand="0" w:oddHBand="0" w:evenHBand="0" w:firstRowFirstColumn="0" w:firstRowLastColumn="0" w:lastRowFirstColumn="0" w:lastRowLastColumn="0"/>
            <w:tcW w:w="1555" w:type="dxa"/>
          </w:tcPr>
          <w:p w:rsidR="00090538" w:rsidRPr="00090538" w:rsidRDefault="00DC753A" w:rsidP="00B125E0">
            <w:pPr>
              <w:rPr>
                <w:rFonts w:ascii="Arial" w:hAnsi="Arial" w:cs="Arial"/>
                <w:bCs w:val="0"/>
                <w:sz w:val="24"/>
                <w:szCs w:val="24"/>
              </w:rPr>
            </w:pPr>
            <w:r>
              <w:rPr>
                <w:rFonts w:ascii="Arial" w:hAnsi="Arial" w:cs="Arial"/>
                <w:bCs w:val="0"/>
                <w:sz w:val="24"/>
                <w:szCs w:val="24"/>
              </w:rPr>
              <w:lastRenderedPageBreak/>
              <w:t>Query 29</w:t>
            </w:r>
            <w:r w:rsidR="00090538" w:rsidRPr="00090538">
              <w:rPr>
                <w:rFonts w:ascii="Arial" w:hAnsi="Arial" w:cs="Arial"/>
                <w:bCs w:val="0"/>
                <w:sz w:val="24"/>
                <w:szCs w:val="24"/>
              </w:rPr>
              <w:t xml:space="preserve">. </w:t>
            </w:r>
            <w:bookmarkStart w:id="3" w:name="twentynine"/>
            <w:bookmarkEnd w:id="3"/>
          </w:p>
        </w:tc>
        <w:tc>
          <w:tcPr>
            <w:tcW w:w="12393" w:type="dxa"/>
            <w:gridSpan w:val="2"/>
          </w:tcPr>
          <w:p w:rsidR="00090538" w:rsidRPr="003A721F" w:rsidRDefault="003A721F"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Different treatment of pre and post 2014 AVC contracts </w:t>
            </w:r>
          </w:p>
        </w:tc>
      </w:tr>
      <w:tr w:rsidR="00090538" w:rsidTr="009E4582">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Default="00D97F9A" w:rsidP="00D97F9A">
            <w:pPr>
              <w:rPr>
                <w:rFonts w:ascii="Arial" w:hAnsi="Arial" w:cs="Arial"/>
                <w:sz w:val="24"/>
                <w:szCs w:val="24"/>
              </w:rPr>
            </w:pPr>
            <w:r>
              <w:rPr>
                <w:rFonts w:ascii="Arial" w:hAnsi="Arial" w:cs="Arial"/>
                <w:sz w:val="24"/>
                <w:szCs w:val="24"/>
              </w:rPr>
              <w:t>Brief description:</w:t>
            </w:r>
          </w:p>
          <w:p w:rsidR="003A721F" w:rsidRPr="00D97F9A" w:rsidRDefault="003A721F" w:rsidP="003A721F">
            <w:pPr>
              <w:rPr>
                <w:rFonts w:ascii="Arial" w:eastAsia="Times New Roman" w:hAnsi="Arial" w:cs="Arial"/>
                <w:b w:val="0"/>
                <w:sz w:val="24"/>
                <w:szCs w:val="24"/>
                <w:lang w:eastAsia="en-GB"/>
              </w:rPr>
            </w:pPr>
            <w:r w:rsidRPr="00D97F9A">
              <w:rPr>
                <w:rFonts w:ascii="Arial" w:hAnsi="Arial" w:cs="Arial"/>
                <w:b w:val="0"/>
                <w:sz w:val="24"/>
                <w:szCs w:val="24"/>
              </w:rPr>
              <w:t xml:space="preserve">As set out in </w:t>
            </w:r>
            <w:hyperlink r:id="rId14" w:history="1">
              <w:r w:rsidRPr="00D97F9A">
                <w:rPr>
                  <w:rStyle w:val="Hyperlink"/>
                  <w:rFonts w:ascii="Arial" w:hAnsi="Arial" w:cs="Arial"/>
                  <w:b w:val="0"/>
                  <w:bCs w:val="0"/>
                  <w:sz w:val="24"/>
                  <w:szCs w:val="24"/>
                </w:rPr>
                <w:t>bulletin 126</w:t>
              </w:r>
            </w:hyperlink>
            <w:r w:rsidRPr="00D97F9A">
              <w:rPr>
                <w:rFonts w:ascii="Arial" w:hAnsi="Arial" w:cs="Arial"/>
                <w:b w:val="0"/>
                <w:sz w:val="24"/>
                <w:szCs w:val="24"/>
              </w:rPr>
              <w:t xml:space="preserve"> the current wording of regulation 33(2) of the LGPS </w:t>
            </w:r>
            <w:r w:rsidR="0016767B" w:rsidRPr="00D97F9A">
              <w:rPr>
                <w:rFonts w:ascii="Arial" w:hAnsi="Arial" w:cs="Arial"/>
                <w:b w:val="0"/>
                <w:sz w:val="24"/>
                <w:szCs w:val="24"/>
              </w:rPr>
              <w:t>Regulations 2013 allows members to draw</w:t>
            </w:r>
            <w:r w:rsidRPr="00D97F9A">
              <w:rPr>
                <w:rFonts w:ascii="Arial" w:eastAsia="Times New Roman" w:hAnsi="Arial" w:cs="Arial"/>
                <w:b w:val="0"/>
                <w:sz w:val="24"/>
                <w:szCs w:val="24"/>
                <w:lang w:eastAsia="en-GB"/>
              </w:rPr>
              <w:t xml:space="preserve"> up to 25% of the</w:t>
            </w:r>
            <w:r w:rsidR="00DC753A">
              <w:rPr>
                <w:rFonts w:ascii="Arial" w:eastAsia="Times New Roman" w:hAnsi="Arial" w:cs="Arial"/>
                <w:b w:val="0"/>
                <w:sz w:val="24"/>
                <w:szCs w:val="24"/>
                <w:lang w:eastAsia="en-GB"/>
              </w:rPr>
              <w:t xml:space="preserve"> </w:t>
            </w:r>
            <w:r w:rsidR="0016767B" w:rsidRPr="00D97F9A">
              <w:rPr>
                <w:rFonts w:ascii="Arial" w:eastAsia="Times New Roman" w:hAnsi="Arial" w:cs="Arial"/>
                <w:b w:val="0"/>
                <w:sz w:val="24"/>
                <w:szCs w:val="24"/>
                <w:lang w:eastAsia="en-GB"/>
              </w:rPr>
              <w:t xml:space="preserve">Capital Value of the main benefits as </w:t>
            </w:r>
            <w:r w:rsidRPr="00D97F9A">
              <w:rPr>
                <w:rFonts w:ascii="Arial" w:eastAsia="Times New Roman" w:hAnsi="Arial" w:cs="Arial"/>
                <w:b w:val="0"/>
                <w:sz w:val="24"/>
                <w:szCs w:val="24"/>
                <w:lang w:eastAsia="en-GB"/>
              </w:rPr>
              <w:t xml:space="preserve">a lump sum and regulation 17 allows 100% of the AVC pot to be drawn as a lump sum. So, technically, the member could, at present, draw in excess of 25% of the overall value of their combined main scheme and AVC benefits. However, that would mean allowing the member to take an unauthorised lump sum - something that, as a scheme, we should not permit. </w:t>
            </w:r>
          </w:p>
          <w:p w:rsidR="0016767B" w:rsidRPr="00D97F9A" w:rsidRDefault="0016767B" w:rsidP="003A721F">
            <w:pPr>
              <w:rPr>
                <w:rFonts w:ascii="Arial" w:eastAsia="Times New Roman" w:hAnsi="Arial" w:cs="Arial"/>
                <w:b w:val="0"/>
                <w:sz w:val="24"/>
                <w:szCs w:val="24"/>
                <w:lang w:eastAsia="en-GB"/>
              </w:rPr>
            </w:pPr>
          </w:p>
          <w:p w:rsidR="003A721F" w:rsidRPr="00D97F9A" w:rsidRDefault="0016767B" w:rsidP="003A721F">
            <w:p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Paragraph 2.7 and 2.9 of the actuarial guidance reflect the current incorrect wording of the regulations.  </w:t>
            </w:r>
            <w:r w:rsidR="003A721F" w:rsidRPr="00D97F9A">
              <w:rPr>
                <w:rFonts w:ascii="Arial" w:eastAsia="Times New Roman" w:hAnsi="Arial" w:cs="Arial"/>
                <w:b w:val="0"/>
                <w:sz w:val="24"/>
                <w:szCs w:val="24"/>
                <w:lang w:eastAsia="en-GB"/>
              </w:rPr>
              <w:t xml:space="preserve">A correction to this regulation was included in the </w:t>
            </w:r>
            <w:hyperlink r:id="rId15" w:history="1">
              <w:r w:rsidR="003A721F" w:rsidRPr="00D97F9A">
                <w:rPr>
                  <w:rStyle w:val="Hyperlink"/>
                  <w:rFonts w:ascii="Arial" w:eastAsia="Times New Roman" w:hAnsi="Arial" w:cs="Arial"/>
                  <w:b w:val="0"/>
                  <w:bCs w:val="0"/>
                  <w:sz w:val="24"/>
                  <w:szCs w:val="24"/>
                  <w:lang w:eastAsia="en-GB"/>
                </w:rPr>
                <w:t>draft regulations</w:t>
              </w:r>
            </w:hyperlink>
            <w:r w:rsidR="003A721F" w:rsidRPr="00D97F9A">
              <w:rPr>
                <w:rFonts w:ascii="Arial" w:eastAsia="Times New Roman" w:hAnsi="Arial" w:cs="Arial"/>
                <w:b w:val="0"/>
                <w:sz w:val="24"/>
                <w:szCs w:val="24"/>
                <w:lang w:eastAsia="en-GB"/>
              </w:rPr>
              <w:t xml:space="preserve"> </w:t>
            </w:r>
            <w:r w:rsidRPr="00D97F9A">
              <w:rPr>
                <w:rFonts w:ascii="Arial" w:eastAsia="Times New Roman" w:hAnsi="Arial" w:cs="Arial"/>
                <w:b w:val="0"/>
                <w:sz w:val="24"/>
                <w:szCs w:val="24"/>
                <w:lang w:eastAsia="en-GB"/>
              </w:rPr>
              <w:t xml:space="preserve">issued by DCLG in May 2016, however, the government have yet to respond to the regulations so we are stuck with an unworkable regulation and corresponding </w:t>
            </w:r>
            <w:r w:rsidR="00CB40A9" w:rsidRPr="00D97F9A">
              <w:rPr>
                <w:rFonts w:ascii="Arial" w:eastAsia="Times New Roman" w:hAnsi="Arial" w:cs="Arial"/>
                <w:b w:val="0"/>
                <w:sz w:val="24"/>
                <w:szCs w:val="24"/>
                <w:lang w:eastAsia="en-GB"/>
              </w:rPr>
              <w:t xml:space="preserve">actuarial </w:t>
            </w:r>
            <w:r w:rsidRPr="00D97F9A">
              <w:rPr>
                <w:rFonts w:ascii="Arial" w:eastAsia="Times New Roman" w:hAnsi="Arial" w:cs="Arial"/>
                <w:b w:val="0"/>
                <w:sz w:val="24"/>
                <w:szCs w:val="24"/>
                <w:lang w:eastAsia="en-GB"/>
              </w:rPr>
              <w:t xml:space="preserve">guidance. </w:t>
            </w:r>
          </w:p>
          <w:p w:rsidR="003A721F" w:rsidRPr="00D97F9A" w:rsidRDefault="003A721F" w:rsidP="003A721F">
            <w:pPr>
              <w:rPr>
                <w:rFonts w:ascii="Arial" w:eastAsia="Times New Roman" w:hAnsi="Arial" w:cs="Arial"/>
                <w:b w:val="0"/>
                <w:sz w:val="24"/>
                <w:szCs w:val="24"/>
                <w:lang w:eastAsia="en-GB"/>
              </w:rPr>
            </w:pPr>
          </w:p>
          <w:p w:rsidR="0016767B" w:rsidRPr="00D97F9A" w:rsidRDefault="0016767B" w:rsidP="003A721F">
            <w:p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At the meeting with GAD and DCLG on 28/5/2015 LGA set out that given the current position in relation to tax free cash from AVCs, as set out in </w:t>
            </w:r>
            <w:hyperlink r:id="rId16" w:history="1">
              <w:r w:rsidRPr="00D97F9A">
                <w:rPr>
                  <w:rStyle w:val="Hyperlink"/>
                  <w:rFonts w:ascii="Arial" w:eastAsia="Times New Roman" w:hAnsi="Arial" w:cs="Arial"/>
                  <w:b w:val="0"/>
                  <w:bCs w:val="0"/>
                  <w:sz w:val="24"/>
                  <w:szCs w:val="24"/>
                  <w:lang w:eastAsia="en-GB"/>
                </w:rPr>
                <w:t>bulletin 126</w:t>
              </w:r>
            </w:hyperlink>
            <w:r w:rsidRPr="00D97F9A">
              <w:rPr>
                <w:rFonts w:ascii="Arial" w:eastAsia="Times New Roman" w:hAnsi="Arial" w:cs="Arial"/>
                <w:b w:val="0"/>
                <w:sz w:val="24"/>
                <w:szCs w:val="24"/>
                <w:lang w:eastAsia="en-GB"/>
              </w:rPr>
              <w:t>:</w:t>
            </w:r>
          </w:p>
          <w:p w:rsidR="0016767B" w:rsidRPr="00D97F9A" w:rsidRDefault="0016767B" w:rsidP="003A721F">
            <w:pPr>
              <w:rPr>
                <w:rFonts w:ascii="Arial" w:eastAsia="Times New Roman" w:hAnsi="Arial" w:cs="Arial"/>
                <w:b w:val="0"/>
                <w:sz w:val="24"/>
                <w:szCs w:val="24"/>
                <w:lang w:eastAsia="en-GB"/>
              </w:rPr>
            </w:pP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the words “(but otherwise it is excluded, by virtue of regulation 33(2) of the 2013 Regulations)” should be deleted from the end of paragraph 2.7, and</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the words </w:t>
            </w:r>
            <w:r w:rsidR="009E4582" w:rsidRPr="00D97F9A">
              <w:rPr>
                <w:rFonts w:ascii="Arial" w:eastAsia="Times New Roman" w:hAnsi="Arial" w:cs="Arial"/>
                <w:b w:val="0"/>
                <w:sz w:val="24"/>
                <w:szCs w:val="24"/>
                <w:lang w:eastAsia="en-GB"/>
              </w:rPr>
              <w:t>“and the AVC arrangements were e</w:t>
            </w:r>
            <w:r w:rsidRPr="00D97F9A">
              <w:rPr>
                <w:rFonts w:ascii="Arial" w:eastAsia="Times New Roman" w:hAnsi="Arial" w:cs="Arial"/>
                <w:b w:val="0"/>
                <w:sz w:val="24"/>
                <w:szCs w:val="24"/>
                <w:lang w:eastAsia="en-GB"/>
              </w:rPr>
              <w:t xml:space="preserve">ntered into prior to 1 April 2014” should be deleted from paragraph 2.9(a), and </w:t>
            </w:r>
          </w:p>
          <w:p w:rsidR="0016767B" w:rsidRPr="00D97F9A" w:rsidRDefault="0016767B" w:rsidP="0016767B">
            <w:pPr>
              <w:pStyle w:val="ListParagraph"/>
              <w:numPr>
                <w:ilvl w:val="0"/>
                <w:numId w:val="2"/>
              </w:numPr>
              <w:rPr>
                <w:rFonts w:ascii="Arial" w:eastAsia="Times New Roman" w:hAnsi="Arial" w:cs="Arial"/>
                <w:b w:val="0"/>
                <w:sz w:val="24"/>
                <w:szCs w:val="24"/>
                <w:lang w:eastAsia="en-GB"/>
              </w:rPr>
            </w:pPr>
            <w:r w:rsidRPr="00D97F9A">
              <w:rPr>
                <w:rFonts w:ascii="Arial" w:eastAsia="Times New Roman" w:hAnsi="Arial" w:cs="Arial"/>
                <w:b w:val="0"/>
                <w:sz w:val="24"/>
                <w:szCs w:val="24"/>
                <w:lang w:eastAsia="en-GB"/>
              </w:rPr>
              <w:t xml:space="preserve">paragraph 2.9(b) should be deleted. </w:t>
            </w:r>
          </w:p>
          <w:p w:rsidR="003A721F" w:rsidRPr="003A721F" w:rsidRDefault="003A721F" w:rsidP="0016767B">
            <w:pPr>
              <w:rPr>
                <w:rFonts w:ascii="Arial" w:hAnsi="Arial" w:cs="Arial"/>
                <w:b w:val="0"/>
              </w:rPr>
            </w:pPr>
          </w:p>
        </w:tc>
      </w:tr>
    </w:tbl>
    <w:p w:rsidR="00DC753A" w:rsidRDefault="00DC753A"/>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9E4582" w:rsidTr="003C2E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9E4582" w:rsidRPr="009E4582" w:rsidRDefault="004C2620" w:rsidP="003C2E33">
            <w:pPr>
              <w:jc w:val="center"/>
              <w:rPr>
                <w:rFonts w:ascii="Arial" w:hAnsi="Arial" w:cs="Arial"/>
                <w:bCs w:val="0"/>
                <w:sz w:val="28"/>
                <w:szCs w:val="28"/>
              </w:rPr>
            </w:pPr>
            <w:r>
              <w:rPr>
                <w:rFonts w:ascii="Arial" w:hAnsi="Arial" w:cs="Arial"/>
                <w:bCs w:val="0"/>
                <w:sz w:val="28"/>
                <w:szCs w:val="28"/>
              </w:rPr>
              <w:t>Annual Allowances Charges: Calculation of Scheme Pays Offset</w:t>
            </w:r>
          </w:p>
        </w:tc>
        <w:tc>
          <w:tcPr>
            <w:tcW w:w="3747" w:type="dxa"/>
            <w:shd w:val="clear" w:color="auto" w:fill="002060"/>
            <w:vAlign w:val="center"/>
          </w:tcPr>
          <w:p w:rsidR="009E4582" w:rsidRPr="00B01799" w:rsidRDefault="009E4582"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26/02/2015</w:t>
            </w:r>
          </w:p>
        </w:tc>
      </w:tr>
      <w:tr w:rsidR="004C2620" w:rsidTr="00DC75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C2620" w:rsidRDefault="00DC753A" w:rsidP="004C2620">
            <w:pPr>
              <w:rPr>
                <w:rFonts w:ascii="Arial" w:hAnsi="Arial" w:cs="Arial"/>
                <w:b w:val="0"/>
                <w:bCs w:val="0"/>
                <w:sz w:val="24"/>
                <w:szCs w:val="24"/>
              </w:rPr>
            </w:pPr>
            <w:r>
              <w:rPr>
                <w:rFonts w:ascii="Arial" w:hAnsi="Arial" w:cs="Arial"/>
                <w:sz w:val="24"/>
                <w:szCs w:val="24"/>
              </w:rPr>
              <w:t>Query 6</w:t>
            </w:r>
            <w:r w:rsidR="004C2620">
              <w:rPr>
                <w:rFonts w:ascii="Arial" w:hAnsi="Arial" w:cs="Arial"/>
                <w:sz w:val="24"/>
                <w:szCs w:val="24"/>
              </w:rPr>
              <w:t>:</w:t>
            </w:r>
            <w:bookmarkStart w:id="4" w:name="six"/>
            <w:bookmarkEnd w:id="4"/>
          </w:p>
        </w:tc>
        <w:tc>
          <w:tcPr>
            <w:tcW w:w="12393" w:type="dxa"/>
            <w:gridSpan w:val="2"/>
            <w:shd w:val="clear" w:color="auto" w:fill="FFFFFF" w:themeFill="background1"/>
          </w:tcPr>
          <w:p w:rsidR="004C2620" w:rsidRPr="004C2620" w:rsidRDefault="004C2620" w:rsidP="00B125E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4C2620">
              <w:rPr>
                <w:rFonts w:ascii="Arial" w:hAnsi="Arial" w:cs="Arial"/>
                <w:b/>
                <w:sz w:val="24"/>
                <w:szCs w:val="24"/>
              </w:rPr>
              <w:t>Interaction of Individual Protection 2016</w:t>
            </w:r>
            <w:r w:rsidR="00D97F9A">
              <w:rPr>
                <w:rFonts w:ascii="Arial" w:hAnsi="Arial" w:cs="Arial"/>
                <w:b/>
                <w:sz w:val="24"/>
                <w:szCs w:val="24"/>
              </w:rPr>
              <w:t xml:space="preserve"> (IP2016)</w:t>
            </w:r>
            <w:r w:rsidRPr="004C2620">
              <w:rPr>
                <w:rFonts w:ascii="Arial" w:hAnsi="Arial" w:cs="Arial"/>
                <w:b/>
                <w:sz w:val="24"/>
                <w:szCs w:val="24"/>
              </w:rPr>
              <w:t xml:space="preserve"> with an annual allowance scheme pays offset</w:t>
            </w:r>
          </w:p>
        </w:tc>
      </w:tr>
      <w:tr w:rsidR="009E4582"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D97F9A" w:rsidRDefault="00D97F9A" w:rsidP="00D97F9A">
            <w:pPr>
              <w:rPr>
                <w:rFonts w:ascii="Arial" w:hAnsi="Arial" w:cs="Arial"/>
                <w:sz w:val="24"/>
                <w:szCs w:val="24"/>
              </w:rPr>
            </w:pPr>
            <w:r>
              <w:rPr>
                <w:rFonts w:ascii="Arial" w:hAnsi="Arial" w:cs="Arial"/>
                <w:sz w:val="24"/>
                <w:szCs w:val="24"/>
              </w:rPr>
              <w:t>Brief description:</w:t>
            </w:r>
          </w:p>
          <w:p w:rsidR="00D97F9A" w:rsidRDefault="00D97F9A" w:rsidP="00D97F9A">
            <w:pPr>
              <w:rPr>
                <w:rFonts w:ascii="Arial" w:hAnsi="Arial" w:cs="Arial"/>
                <w:b w:val="0"/>
                <w:sz w:val="24"/>
                <w:szCs w:val="24"/>
              </w:rPr>
            </w:pPr>
            <w:r>
              <w:rPr>
                <w:rFonts w:ascii="Arial" w:hAnsi="Arial" w:cs="Arial"/>
                <w:b w:val="0"/>
                <w:sz w:val="24"/>
                <w:szCs w:val="24"/>
              </w:rPr>
              <w:t xml:space="preserve">How should pension benefits be valued for IP2016 where a scheme pays election for an annual allowance charge has a relevant date of prior to 5/4/2016 but the paperwork is not completed by that date? </w:t>
            </w:r>
          </w:p>
          <w:p w:rsidR="00D97F9A" w:rsidRDefault="00D97F9A" w:rsidP="00D97F9A">
            <w:pPr>
              <w:rPr>
                <w:rFonts w:ascii="Arial" w:hAnsi="Arial" w:cs="Arial"/>
                <w:b w:val="0"/>
                <w:sz w:val="24"/>
                <w:szCs w:val="24"/>
              </w:rPr>
            </w:pPr>
          </w:p>
          <w:p w:rsidR="00D97F9A" w:rsidRDefault="00D97F9A" w:rsidP="00D97F9A">
            <w:pPr>
              <w:rPr>
                <w:rFonts w:ascii="Arial" w:hAnsi="Arial" w:cs="Arial"/>
                <w:b w:val="0"/>
                <w:sz w:val="24"/>
                <w:szCs w:val="24"/>
              </w:rPr>
            </w:pPr>
            <w:r>
              <w:rPr>
                <w:rFonts w:ascii="Arial" w:hAnsi="Arial" w:cs="Arial"/>
                <w:b w:val="0"/>
                <w:sz w:val="24"/>
                <w:szCs w:val="24"/>
              </w:rPr>
              <w:t xml:space="preserve">The situation </w:t>
            </w:r>
            <w:r w:rsidRPr="00D97F9A">
              <w:rPr>
                <w:rFonts w:ascii="Arial" w:hAnsi="Arial" w:cs="Arial"/>
                <w:b w:val="0"/>
                <w:sz w:val="24"/>
                <w:szCs w:val="24"/>
              </w:rPr>
              <w:t>is reasonably clear that if a scheme pays debit has a relevant date after 5/4/2016 then that debit could not be allowed for in the valuation of a pension at 5/4/2016.  The situation is less clear for a scheme pays debit with a relevant date prior to 5/4/16 for which the paperwo</w:t>
            </w:r>
            <w:r w:rsidR="00696DC3">
              <w:rPr>
                <w:rFonts w:ascii="Arial" w:hAnsi="Arial" w:cs="Arial"/>
                <w:b w:val="0"/>
                <w:sz w:val="24"/>
                <w:szCs w:val="24"/>
              </w:rPr>
              <w:t xml:space="preserve">rk is not complete by that date.  </w:t>
            </w:r>
          </w:p>
          <w:p w:rsidR="00696DC3" w:rsidRPr="00696DC3" w:rsidRDefault="00696DC3" w:rsidP="00D97F9A">
            <w:pPr>
              <w:rPr>
                <w:rFonts w:ascii="Arial" w:hAnsi="Arial" w:cs="Arial"/>
                <w:b w:val="0"/>
                <w:sz w:val="24"/>
                <w:szCs w:val="24"/>
              </w:rPr>
            </w:pPr>
          </w:p>
          <w:p w:rsidR="00696DC3" w:rsidRPr="00696DC3" w:rsidRDefault="00696DC3" w:rsidP="00D97F9A">
            <w:pPr>
              <w:rPr>
                <w:rFonts w:ascii="Arial" w:hAnsi="Arial" w:cs="Arial"/>
                <w:b w:val="0"/>
                <w:sz w:val="24"/>
                <w:szCs w:val="24"/>
              </w:rPr>
            </w:pPr>
            <w:r w:rsidRPr="00696DC3">
              <w:rPr>
                <w:rFonts w:ascii="Arial" w:hAnsi="Arial" w:cs="Arial"/>
                <w:b w:val="0"/>
                <w:sz w:val="24"/>
                <w:szCs w:val="24"/>
              </w:rPr>
              <w:t>HMRC have confirmed that in relation to the adjustments having to be ma</w:t>
            </w:r>
            <w:r w:rsidR="003933E5">
              <w:rPr>
                <w:rFonts w:ascii="Arial" w:hAnsi="Arial" w:cs="Arial"/>
                <w:b w:val="0"/>
                <w:sz w:val="24"/>
                <w:szCs w:val="24"/>
              </w:rPr>
              <w:t xml:space="preserve">de to the member’s benefits, they </w:t>
            </w:r>
            <w:r w:rsidRPr="00696DC3">
              <w:rPr>
                <w:rFonts w:ascii="Arial" w:hAnsi="Arial" w:cs="Arial"/>
                <w:b w:val="0"/>
                <w:sz w:val="24"/>
                <w:szCs w:val="24"/>
              </w:rPr>
              <w:t>cannot be prescriptive as to when or how the a</w:t>
            </w:r>
            <w:r w:rsidR="003933E5">
              <w:rPr>
                <w:rFonts w:ascii="Arial" w:hAnsi="Arial" w:cs="Arial"/>
                <w:b w:val="0"/>
                <w:sz w:val="24"/>
                <w:szCs w:val="24"/>
              </w:rPr>
              <w:t>djustment has to be made, all they</w:t>
            </w:r>
            <w:r w:rsidRPr="00696DC3">
              <w:rPr>
                <w:rFonts w:ascii="Arial" w:hAnsi="Arial" w:cs="Arial"/>
                <w:b w:val="0"/>
                <w:sz w:val="24"/>
                <w:szCs w:val="24"/>
              </w:rPr>
              <w:t xml:space="preserve"> would say is simply  that an adjustment must be made to the member’s benefit rights.</w:t>
            </w:r>
          </w:p>
          <w:p w:rsidR="00D97F9A" w:rsidRDefault="00D97F9A" w:rsidP="00D97F9A">
            <w:pPr>
              <w:rPr>
                <w:rFonts w:ascii="Arial" w:hAnsi="Arial" w:cs="Arial"/>
                <w:b w:val="0"/>
                <w:sz w:val="24"/>
                <w:szCs w:val="24"/>
              </w:rPr>
            </w:pPr>
          </w:p>
          <w:p w:rsidR="00D97F9A" w:rsidRDefault="00696DC3" w:rsidP="00D97F9A">
            <w:pPr>
              <w:rPr>
                <w:rFonts w:ascii="Arial" w:hAnsi="Arial" w:cs="Arial"/>
                <w:b w:val="0"/>
                <w:sz w:val="24"/>
                <w:szCs w:val="24"/>
              </w:rPr>
            </w:pPr>
            <w:r>
              <w:rPr>
                <w:rFonts w:ascii="Arial" w:hAnsi="Arial" w:cs="Arial"/>
                <w:b w:val="0"/>
                <w:sz w:val="24"/>
                <w:szCs w:val="24"/>
              </w:rPr>
              <w:t xml:space="preserve">Query first raised on 16/07/2016 – see </w:t>
            </w:r>
            <w:hyperlink r:id="rId17"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w:t>
            </w:r>
          </w:p>
          <w:p w:rsidR="009E4582" w:rsidRPr="009E4582" w:rsidRDefault="009E4582" w:rsidP="00D97F9A">
            <w:pPr>
              <w:rPr>
                <w:rFonts w:ascii="Arial" w:hAnsi="Arial" w:cs="Arial"/>
                <w:b w:val="0"/>
                <w:sz w:val="24"/>
                <w:szCs w:val="24"/>
              </w:rPr>
            </w:pPr>
          </w:p>
        </w:tc>
      </w:tr>
    </w:tbl>
    <w:p w:rsidR="00DC753A" w:rsidRDefault="00DC753A"/>
    <w:tbl>
      <w:tblPr>
        <w:tblStyle w:val="GridTable4-Accent3"/>
        <w:tblW w:w="0" w:type="auto"/>
        <w:tblLook w:val="04A0" w:firstRow="1" w:lastRow="0" w:firstColumn="1" w:lastColumn="0" w:noHBand="0" w:noVBand="1"/>
      </w:tblPr>
      <w:tblGrid>
        <w:gridCol w:w="1555"/>
        <w:gridCol w:w="8646"/>
        <w:gridCol w:w="3747"/>
      </w:tblGrid>
      <w:tr w:rsidR="00B01799" w:rsidRPr="00CB40A9" w:rsidTr="003C2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3C2E33">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3C2E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750573" w:rsidTr="003C2E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643BA9" w:rsidRDefault="00750573" w:rsidP="003C2E33">
            <w:pPr>
              <w:jc w:val="center"/>
              <w:rPr>
                <w:rFonts w:ascii="Arial" w:hAnsi="Arial" w:cs="Arial"/>
                <w:b w:val="0"/>
                <w:bCs w:val="0"/>
                <w:sz w:val="28"/>
                <w:szCs w:val="28"/>
              </w:rPr>
            </w:pPr>
            <w:r w:rsidRPr="00643BA9">
              <w:rPr>
                <w:rFonts w:ascii="Arial" w:hAnsi="Arial" w:cs="Arial"/>
                <w:sz w:val="28"/>
                <w:szCs w:val="28"/>
              </w:rPr>
              <w:t>Early payment of pension</w:t>
            </w:r>
          </w:p>
        </w:tc>
        <w:tc>
          <w:tcPr>
            <w:tcW w:w="3747" w:type="dxa"/>
            <w:shd w:val="clear" w:color="auto" w:fill="002060"/>
            <w:vAlign w:val="center"/>
          </w:tcPr>
          <w:p w:rsidR="00750573" w:rsidRPr="00B01799" w:rsidRDefault="00750573" w:rsidP="003C2E3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18/04/2016</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750573" w:rsidRDefault="003933E5" w:rsidP="00750573">
            <w:pPr>
              <w:rPr>
                <w:rFonts w:ascii="Arial" w:hAnsi="Arial" w:cs="Arial"/>
                <w:b w:val="0"/>
                <w:bCs w:val="0"/>
                <w:sz w:val="24"/>
                <w:szCs w:val="24"/>
              </w:rPr>
            </w:pPr>
            <w:r>
              <w:rPr>
                <w:rFonts w:ascii="Arial" w:hAnsi="Arial" w:cs="Arial"/>
                <w:sz w:val="24"/>
                <w:szCs w:val="24"/>
              </w:rPr>
              <w:t>Query 10</w:t>
            </w:r>
            <w:r w:rsidR="00750573">
              <w:rPr>
                <w:rFonts w:ascii="Arial" w:hAnsi="Arial" w:cs="Arial"/>
                <w:sz w:val="24"/>
                <w:szCs w:val="24"/>
              </w:rPr>
              <w:t>:</w:t>
            </w:r>
            <w:bookmarkStart w:id="5" w:name="ten"/>
            <w:bookmarkEnd w:id="5"/>
          </w:p>
        </w:tc>
        <w:tc>
          <w:tcPr>
            <w:tcW w:w="12393" w:type="dxa"/>
            <w:gridSpan w:val="2"/>
            <w:shd w:val="clear" w:color="auto" w:fill="auto"/>
          </w:tcPr>
          <w:p w:rsidR="00750573" w:rsidRPr="00337AC2" w:rsidRDefault="00750573" w:rsidP="00750573">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Guidance does not reflect that c</w:t>
            </w:r>
            <w:r w:rsidRPr="00337AC2">
              <w:rPr>
                <w:rFonts w:ascii="Arial" w:hAnsi="Arial" w:cs="Arial"/>
                <w:b/>
                <w:sz w:val="24"/>
                <w:szCs w:val="24"/>
              </w:rPr>
              <w:t>ertain club transfers can still purchase D2 final salary benefits where membership is after 1/4/2015</w:t>
            </w:r>
          </w:p>
        </w:tc>
      </w:tr>
      <w:tr w:rsidR="00750573" w:rsidTr="007505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750573" w:rsidRDefault="00750573" w:rsidP="00750573">
            <w:pPr>
              <w:rPr>
                <w:rFonts w:ascii="Arial" w:hAnsi="Arial" w:cs="Arial"/>
                <w:b w:val="0"/>
                <w:sz w:val="24"/>
                <w:szCs w:val="24"/>
              </w:rPr>
            </w:pPr>
            <w:r w:rsidRPr="00337AC2">
              <w:rPr>
                <w:rFonts w:ascii="Arial" w:hAnsi="Arial" w:cs="Arial"/>
                <w:b w:val="0"/>
                <w:sz w:val="24"/>
                <w:szCs w:val="24"/>
              </w:rPr>
              <w:t>Club transf</w:t>
            </w:r>
            <w:r>
              <w:rPr>
                <w:rFonts w:ascii="Arial" w:hAnsi="Arial" w:cs="Arial"/>
                <w:b w:val="0"/>
                <w:sz w:val="24"/>
                <w:szCs w:val="24"/>
              </w:rPr>
              <w:t>ers from non-public sector outer</w:t>
            </w:r>
            <w:r w:rsidRPr="00337AC2">
              <w:rPr>
                <w:rFonts w:ascii="Arial" w:hAnsi="Arial" w:cs="Arial"/>
                <w:b w:val="0"/>
                <w:sz w:val="24"/>
                <w:szCs w:val="24"/>
              </w:rPr>
              <w:t xml:space="preserve"> Club schemes (who are still running final salary schemes) can purchase D2 final salary benefits in the LGPS, even where the member jo</w:t>
            </w:r>
            <w:r>
              <w:rPr>
                <w:rFonts w:ascii="Arial" w:hAnsi="Arial" w:cs="Arial"/>
                <w:b w:val="0"/>
                <w:sz w:val="24"/>
                <w:szCs w:val="24"/>
              </w:rPr>
              <w:t>ined that non-public sector oute</w:t>
            </w:r>
            <w:r w:rsidRPr="00337AC2">
              <w:rPr>
                <w:rFonts w:ascii="Arial" w:hAnsi="Arial" w:cs="Arial"/>
                <w:b w:val="0"/>
                <w:sz w:val="24"/>
                <w:szCs w:val="24"/>
              </w:rPr>
              <w:t xml:space="preserve">r Club scheme after 1/4/2015 and  so has no pre 1 April 2015 membership.  </w:t>
            </w:r>
            <w:r>
              <w:rPr>
                <w:rFonts w:ascii="Arial" w:hAnsi="Arial" w:cs="Arial"/>
                <w:b w:val="0"/>
                <w:sz w:val="24"/>
                <w:szCs w:val="24"/>
              </w:rPr>
              <w:t xml:space="preserve">We therefore suggest that the words “which included service before 1 April 2015” be deleted from paragraph B13 of this guidance. </w:t>
            </w:r>
          </w:p>
          <w:p w:rsidR="00750573" w:rsidRDefault="00750573" w:rsidP="00750573">
            <w:pPr>
              <w:rPr>
                <w:rFonts w:ascii="Arial" w:hAnsi="Arial" w:cs="Arial"/>
                <w:b w:val="0"/>
                <w:sz w:val="24"/>
                <w:szCs w:val="24"/>
              </w:rPr>
            </w:pPr>
          </w:p>
          <w:p w:rsidR="00750573" w:rsidRDefault="00750573" w:rsidP="00750573">
            <w:pPr>
              <w:rPr>
                <w:rFonts w:ascii="Arial" w:hAnsi="Arial" w:cs="Arial"/>
                <w:b w:val="0"/>
                <w:sz w:val="24"/>
                <w:szCs w:val="24"/>
              </w:rPr>
            </w:pPr>
            <w:r>
              <w:rPr>
                <w:rFonts w:ascii="Arial" w:hAnsi="Arial" w:cs="Arial"/>
                <w:b w:val="0"/>
                <w:sz w:val="24"/>
                <w:szCs w:val="24"/>
              </w:rPr>
              <w:t>(NB connected query relating to para. 1.18 of the transfer guidance has already been actioned)</w:t>
            </w:r>
          </w:p>
          <w:p w:rsidR="00750573" w:rsidRDefault="00750573" w:rsidP="00750573">
            <w:pPr>
              <w:rPr>
                <w:rFonts w:ascii="Arial" w:hAnsi="Arial" w:cs="Arial"/>
                <w:b w:val="0"/>
                <w:sz w:val="24"/>
                <w:szCs w:val="24"/>
              </w:rPr>
            </w:pPr>
          </w:p>
          <w:p w:rsidR="00750573" w:rsidRPr="00337AC2" w:rsidRDefault="00750573" w:rsidP="00750573">
            <w:pPr>
              <w:rPr>
                <w:rFonts w:ascii="Arial" w:hAnsi="Arial" w:cs="Arial"/>
                <w:b w:val="0"/>
                <w:sz w:val="24"/>
                <w:szCs w:val="24"/>
              </w:rPr>
            </w:pPr>
            <w:r>
              <w:rPr>
                <w:rFonts w:ascii="Arial" w:hAnsi="Arial" w:cs="Arial"/>
                <w:b w:val="0"/>
                <w:sz w:val="24"/>
                <w:szCs w:val="24"/>
              </w:rPr>
              <w:t xml:space="preserve">Query first raised 08/05/2016 </w:t>
            </w:r>
          </w:p>
        </w:tc>
      </w:tr>
    </w:tbl>
    <w:p w:rsidR="00A7164E" w:rsidRDefault="00A7164E"/>
    <w:tbl>
      <w:tblPr>
        <w:tblStyle w:val="GridTable4-Accent3"/>
        <w:tblW w:w="0" w:type="auto"/>
        <w:tblLook w:val="04A0" w:firstRow="1" w:lastRow="0" w:firstColumn="1" w:lastColumn="0" w:noHBand="0" w:noVBand="1"/>
      </w:tblPr>
      <w:tblGrid>
        <w:gridCol w:w="1555"/>
        <w:gridCol w:w="8646"/>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3C2E33"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C05E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7030A0"/>
            <w:vAlign w:val="center"/>
          </w:tcPr>
          <w:p w:rsidR="000C05E5" w:rsidRPr="005432DC" w:rsidRDefault="000C05E5" w:rsidP="005432DC">
            <w:pPr>
              <w:jc w:val="center"/>
              <w:rPr>
                <w:rFonts w:ascii="Arial" w:hAnsi="Arial" w:cs="Arial"/>
                <w:b w:val="0"/>
                <w:bCs w:val="0"/>
                <w:color w:val="FFFFFF" w:themeColor="background1"/>
                <w:sz w:val="28"/>
                <w:szCs w:val="28"/>
              </w:rPr>
            </w:pPr>
            <w:r w:rsidRPr="005432DC">
              <w:rPr>
                <w:rFonts w:ascii="Arial" w:hAnsi="Arial" w:cs="Arial"/>
                <w:color w:val="FFFFFF" w:themeColor="background1"/>
                <w:sz w:val="28"/>
                <w:szCs w:val="28"/>
              </w:rPr>
              <w:t>Scotland - Annual Allowance Charges:  Calculation of Scheme Pays Offset</w:t>
            </w:r>
          </w:p>
        </w:tc>
        <w:tc>
          <w:tcPr>
            <w:tcW w:w="3747" w:type="dxa"/>
            <w:shd w:val="clear" w:color="auto" w:fill="7030A0"/>
            <w:vAlign w:val="center"/>
          </w:tcPr>
          <w:p w:rsidR="000C05E5" w:rsidRPr="005432DC" w:rsidRDefault="000C05E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5432DC">
              <w:rPr>
                <w:rFonts w:ascii="Arial" w:hAnsi="Arial" w:cs="Arial"/>
                <w:b/>
                <w:color w:val="FFFFFF" w:themeColor="background1"/>
                <w:sz w:val="28"/>
                <w:szCs w:val="28"/>
              </w:rPr>
              <w:t>26/02/2015</w:t>
            </w:r>
          </w:p>
        </w:tc>
      </w:tr>
      <w:tr w:rsidR="000C05E5" w:rsidTr="00DC753A">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0C05E5" w:rsidRDefault="00DC753A" w:rsidP="00D97F9A">
            <w:pPr>
              <w:rPr>
                <w:rFonts w:ascii="Arial" w:hAnsi="Arial" w:cs="Arial"/>
                <w:b w:val="0"/>
                <w:bCs w:val="0"/>
                <w:sz w:val="24"/>
                <w:szCs w:val="24"/>
              </w:rPr>
            </w:pPr>
            <w:r>
              <w:rPr>
                <w:rFonts w:ascii="Arial" w:hAnsi="Arial" w:cs="Arial"/>
                <w:sz w:val="24"/>
                <w:szCs w:val="24"/>
              </w:rPr>
              <w:t>Query 7</w:t>
            </w:r>
            <w:r w:rsidR="000C05E5">
              <w:rPr>
                <w:rFonts w:ascii="Arial" w:hAnsi="Arial" w:cs="Arial"/>
                <w:sz w:val="24"/>
                <w:szCs w:val="24"/>
              </w:rPr>
              <w:t xml:space="preserve">: </w:t>
            </w:r>
            <w:bookmarkStart w:id="6" w:name="seven"/>
            <w:bookmarkEnd w:id="6"/>
          </w:p>
        </w:tc>
        <w:tc>
          <w:tcPr>
            <w:tcW w:w="12393" w:type="dxa"/>
            <w:gridSpan w:val="2"/>
            <w:shd w:val="clear" w:color="auto" w:fill="FFFFFF" w:themeFill="background1"/>
          </w:tcPr>
          <w:p w:rsidR="000C05E5" w:rsidRPr="00337AC2" w:rsidRDefault="000C05E5" w:rsidP="000C05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37AC2">
              <w:rPr>
                <w:rFonts w:ascii="Arial" w:hAnsi="Arial" w:cs="Arial"/>
                <w:b/>
                <w:sz w:val="24"/>
                <w:szCs w:val="24"/>
              </w:rPr>
              <w:t>Actuarial guidance incorrectly states the Pension Input Period is 1</w:t>
            </w:r>
            <w:r w:rsidRPr="00337AC2">
              <w:rPr>
                <w:rFonts w:ascii="Arial" w:hAnsi="Arial" w:cs="Arial"/>
                <w:b/>
                <w:sz w:val="24"/>
                <w:szCs w:val="24"/>
                <w:vertAlign w:val="superscript"/>
              </w:rPr>
              <w:t>st</w:t>
            </w:r>
            <w:r w:rsidRPr="00337AC2">
              <w:rPr>
                <w:rFonts w:ascii="Arial" w:hAnsi="Arial" w:cs="Arial"/>
                <w:b/>
                <w:sz w:val="24"/>
                <w:szCs w:val="24"/>
              </w:rPr>
              <w:t xml:space="preserve"> April to 31</w:t>
            </w:r>
            <w:r w:rsidRPr="00337AC2">
              <w:rPr>
                <w:rFonts w:ascii="Arial" w:hAnsi="Arial" w:cs="Arial"/>
                <w:b/>
                <w:sz w:val="24"/>
                <w:szCs w:val="24"/>
                <w:vertAlign w:val="superscript"/>
              </w:rPr>
              <w:t>st</w:t>
            </w:r>
            <w:r w:rsidRPr="00337AC2">
              <w:rPr>
                <w:rFonts w:ascii="Arial" w:hAnsi="Arial" w:cs="Arial"/>
                <w:b/>
                <w:sz w:val="24"/>
                <w:szCs w:val="24"/>
              </w:rPr>
              <w:t xml:space="preserve"> March</w:t>
            </w:r>
          </w:p>
        </w:tc>
      </w:tr>
      <w:tr w:rsidR="00930EB0"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C05E5" w:rsidRDefault="000C05E5" w:rsidP="000C05E5">
            <w:pPr>
              <w:rPr>
                <w:rFonts w:ascii="Arial" w:hAnsi="Arial" w:cs="Arial"/>
                <w:sz w:val="24"/>
                <w:szCs w:val="24"/>
              </w:rPr>
            </w:pPr>
            <w:r>
              <w:rPr>
                <w:rFonts w:ascii="Arial" w:hAnsi="Arial" w:cs="Arial"/>
                <w:sz w:val="24"/>
                <w:szCs w:val="24"/>
              </w:rPr>
              <w:t>Brief description:</w:t>
            </w:r>
          </w:p>
          <w:p w:rsidR="000C05E5" w:rsidRDefault="000C05E5" w:rsidP="000C05E5">
            <w:pPr>
              <w:rPr>
                <w:rFonts w:ascii="Arial" w:hAnsi="Arial" w:cs="Arial"/>
                <w:b w:val="0"/>
                <w:sz w:val="24"/>
                <w:szCs w:val="24"/>
              </w:rPr>
            </w:pPr>
            <w:r>
              <w:rPr>
                <w:rFonts w:ascii="Arial" w:hAnsi="Arial" w:cs="Arial"/>
                <w:b w:val="0"/>
                <w:sz w:val="24"/>
                <w:szCs w:val="24"/>
              </w:rPr>
              <w:t>Paragraph 2.3 states:</w:t>
            </w:r>
          </w:p>
          <w:p w:rsidR="000C05E5" w:rsidRPr="000C05E5" w:rsidRDefault="000C05E5" w:rsidP="000C05E5">
            <w:pPr>
              <w:rPr>
                <w:rFonts w:ascii="Arial" w:eastAsia="Times New Roman" w:hAnsi="Arial" w:cs="Arial"/>
                <w:b w:val="0"/>
                <w:i/>
                <w:sz w:val="24"/>
                <w:szCs w:val="24"/>
                <w:lang w:eastAsia="en-GB"/>
              </w:rPr>
            </w:pPr>
            <w:r w:rsidRPr="000C05E5">
              <w:rPr>
                <w:rFonts w:ascii="Arial" w:eastAsia="Times New Roman" w:hAnsi="Arial" w:cs="Arial"/>
                <w:b w:val="0"/>
                <w:i/>
                <w:sz w:val="24"/>
                <w:szCs w:val="24"/>
                <w:lang w:eastAsia="en-GB"/>
              </w:rPr>
              <w:t xml:space="preserve">SPPA has confirmed that the Relevant Date (also known as the Implementation Date) will be the day coincident with the end of the pension input period. The pension input period in the LGPS runs from 1 April to 31 March, so the Relevant Date will be </w:t>
            </w:r>
          </w:p>
          <w:p w:rsidR="000C05E5" w:rsidRPr="000C05E5" w:rsidRDefault="000C05E5" w:rsidP="000C05E5">
            <w:pPr>
              <w:rPr>
                <w:rFonts w:ascii="Arial" w:eastAsia="Times New Roman" w:hAnsi="Arial" w:cs="Arial"/>
                <w:b w:val="0"/>
                <w:sz w:val="24"/>
                <w:szCs w:val="24"/>
                <w:lang w:eastAsia="en-GB"/>
              </w:rPr>
            </w:pPr>
            <w:r w:rsidRPr="000C05E5">
              <w:rPr>
                <w:rFonts w:ascii="Arial" w:eastAsia="Times New Roman" w:hAnsi="Arial" w:cs="Arial"/>
                <w:b w:val="0"/>
                <w:i/>
                <w:sz w:val="24"/>
                <w:szCs w:val="24"/>
                <w:lang w:eastAsia="en-GB"/>
              </w:rPr>
              <w:t>31 March</w:t>
            </w:r>
            <w:r w:rsidRPr="000C05E5">
              <w:rPr>
                <w:rFonts w:ascii="Arial" w:eastAsia="Times New Roman" w:hAnsi="Arial" w:cs="Arial"/>
                <w:b w:val="0"/>
                <w:sz w:val="24"/>
                <w:szCs w:val="24"/>
                <w:lang w:eastAsia="en-GB"/>
              </w:rPr>
              <w:t xml:space="preserve">.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 xml:space="preserve">All PIPs were aligned with the tax year from 6/4/2016 onwards with transitional rules applying for 2015/16. </w:t>
            </w:r>
          </w:p>
          <w:p w:rsidR="000C05E5" w:rsidRDefault="000C05E5" w:rsidP="000C05E5">
            <w:pPr>
              <w:rPr>
                <w:rFonts w:ascii="Arial" w:hAnsi="Arial" w:cs="Arial"/>
                <w:b w:val="0"/>
                <w:sz w:val="24"/>
                <w:szCs w:val="24"/>
              </w:rPr>
            </w:pPr>
          </w:p>
          <w:p w:rsidR="000C05E5" w:rsidRDefault="000C05E5" w:rsidP="000C05E5">
            <w:pPr>
              <w:rPr>
                <w:rFonts w:ascii="Arial" w:hAnsi="Arial" w:cs="Arial"/>
                <w:b w:val="0"/>
                <w:sz w:val="24"/>
                <w:szCs w:val="24"/>
              </w:rPr>
            </w:pPr>
            <w:r>
              <w:rPr>
                <w:rFonts w:ascii="Arial" w:hAnsi="Arial" w:cs="Arial"/>
                <w:b w:val="0"/>
                <w:sz w:val="24"/>
                <w:szCs w:val="24"/>
              </w:rPr>
              <w:t>NB:</w:t>
            </w:r>
            <w:r w:rsidR="00DC753A">
              <w:rPr>
                <w:rFonts w:ascii="Arial" w:hAnsi="Arial" w:cs="Arial"/>
                <w:b w:val="0"/>
                <w:sz w:val="24"/>
                <w:szCs w:val="24"/>
              </w:rPr>
              <w:t xml:space="preserve"> The NI guidance has the same issue (again paragraph 2.3) but </w:t>
            </w:r>
            <w:r>
              <w:rPr>
                <w:rFonts w:ascii="Arial" w:hAnsi="Arial" w:cs="Arial"/>
                <w:b w:val="0"/>
                <w:sz w:val="24"/>
                <w:szCs w:val="24"/>
              </w:rPr>
              <w:t xml:space="preserve">the E&amp;W guidance is not affected. </w:t>
            </w:r>
          </w:p>
          <w:p w:rsidR="000C05E5" w:rsidRDefault="000C05E5" w:rsidP="000C05E5">
            <w:pPr>
              <w:rPr>
                <w:rFonts w:ascii="Arial" w:hAnsi="Arial" w:cs="Arial"/>
                <w:b w:val="0"/>
                <w:sz w:val="24"/>
                <w:szCs w:val="24"/>
              </w:rPr>
            </w:pPr>
          </w:p>
          <w:p w:rsidR="00930EB0" w:rsidRDefault="000C05E5" w:rsidP="000C05E5">
            <w:pPr>
              <w:rPr>
                <w:rFonts w:ascii="Arial" w:hAnsi="Arial" w:cs="Arial"/>
                <w:sz w:val="24"/>
                <w:szCs w:val="24"/>
              </w:rPr>
            </w:pPr>
            <w:r>
              <w:rPr>
                <w:rFonts w:ascii="Arial" w:hAnsi="Arial" w:cs="Arial"/>
                <w:b w:val="0"/>
                <w:sz w:val="24"/>
                <w:szCs w:val="24"/>
              </w:rPr>
              <w:t>Query first raised on 18/03/2016</w:t>
            </w:r>
          </w:p>
        </w:tc>
      </w:tr>
    </w:tbl>
    <w:p w:rsidR="00DC753A" w:rsidRDefault="00DC753A"/>
    <w:p w:rsidR="00750573" w:rsidRDefault="00750573"/>
    <w:tbl>
      <w:tblPr>
        <w:tblStyle w:val="GridTable4-Accent3"/>
        <w:tblW w:w="0" w:type="auto"/>
        <w:tblLook w:val="04A0" w:firstRow="1" w:lastRow="0" w:firstColumn="1" w:lastColumn="0" w:noHBand="0" w:noVBand="1"/>
      </w:tblPr>
      <w:tblGrid>
        <w:gridCol w:w="1413"/>
        <w:gridCol w:w="8788"/>
        <w:gridCol w:w="3747"/>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747"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750573" w:rsidTr="005432D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201" w:type="dxa"/>
            <w:gridSpan w:val="2"/>
            <w:shd w:val="clear" w:color="auto" w:fill="002060"/>
            <w:vAlign w:val="center"/>
          </w:tcPr>
          <w:p w:rsidR="00750573" w:rsidRPr="00337AC2" w:rsidRDefault="00750573" w:rsidP="005432DC">
            <w:pPr>
              <w:shd w:val="clear" w:color="auto" w:fill="002060"/>
              <w:jc w:val="center"/>
              <w:rPr>
                <w:rFonts w:ascii="Arial" w:hAnsi="Arial" w:cs="Arial"/>
                <w:b w:val="0"/>
                <w:bCs w:val="0"/>
                <w:sz w:val="24"/>
                <w:szCs w:val="24"/>
              </w:rPr>
            </w:pPr>
            <w:r w:rsidRPr="00750573">
              <w:rPr>
                <w:rFonts w:ascii="Arial" w:eastAsia="Times New Roman" w:hAnsi="Arial" w:cs="Arial"/>
                <w:sz w:val="28"/>
                <w:szCs w:val="28"/>
                <w:lang w:eastAsia="en-GB"/>
              </w:rPr>
              <w:t>Factors to use for purchase of additional survivor benefits</w:t>
            </w:r>
          </w:p>
        </w:tc>
        <w:tc>
          <w:tcPr>
            <w:tcW w:w="3747" w:type="dxa"/>
            <w:shd w:val="clear" w:color="auto" w:fill="002060"/>
            <w:vAlign w:val="center"/>
          </w:tcPr>
          <w:p w:rsidR="00750573" w:rsidRPr="00B01799" w:rsidRDefault="00750573" w:rsidP="005432DC">
            <w:pPr>
              <w:shd w:val="clear" w:color="auto" w:fill="0020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24/11/2015</w:t>
            </w:r>
          </w:p>
        </w:tc>
      </w:tr>
      <w:tr w:rsidR="00750573" w:rsidTr="00750573">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750573" w:rsidRPr="00750573" w:rsidRDefault="00750573" w:rsidP="00337AC2">
            <w:pPr>
              <w:rPr>
                <w:rFonts w:ascii="Arial" w:hAnsi="Arial" w:cs="Arial"/>
                <w:bCs w:val="0"/>
                <w:sz w:val="24"/>
                <w:szCs w:val="24"/>
              </w:rPr>
            </w:pPr>
            <w:r w:rsidRPr="00750573">
              <w:rPr>
                <w:rFonts w:ascii="Arial" w:hAnsi="Arial" w:cs="Arial"/>
                <w:bCs w:val="0"/>
                <w:sz w:val="24"/>
                <w:szCs w:val="24"/>
              </w:rPr>
              <w:t>Query 9:</w:t>
            </w:r>
            <w:bookmarkStart w:id="7" w:name="nine"/>
            <w:bookmarkEnd w:id="7"/>
          </w:p>
        </w:tc>
        <w:tc>
          <w:tcPr>
            <w:tcW w:w="12535" w:type="dxa"/>
            <w:gridSpan w:val="2"/>
            <w:shd w:val="clear" w:color="auto" w:fill="FFFFFF" w:themeFill="background1"/>
          </w:tcPr>
          <w:p w:rsidR="00750573" w:rsidRPr="003933E5" w:rsidRDefault="003933E5" w:rsidP="003933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933E5">
              <w:rPr>
                <w:rFonts w:ascii="Arial" w:hAnsi="Arial" w:cs="Arial"/>
                <w:b/>
                <w:sz w:val="24"/>
                <w:szCs w:val="24"/>
              </w:rPr>
              <w:t>Multiple corrections necessary mostly to reflect that no new contracts can be taken out</w:t>
            </w:r>
          </w:p>
        </w:tc>
      </w:tr>
      <w:tr w:rsidR="00DC753A"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3933E5" w:rsidRDefault="003933E5" w:rsidP="003933E5">
            <w:pPr>
              <w:rPr>
                <w:rFonts w:ascii="Arial" w:hAnsi="Arial" w:cs="Arial"/>
                <w:b w:val="0"/>
                <w:sz w:val="24"/>
                <w:szCs w:val="24"/>
              </w:rPr>
            </w:pPr>
            <w:r>
              <w:rPr>
                <w:rFonts w:ascii="Arial" w:hAnsi="Arial" w:cs="Arial"/>
                <w:b w:val="0"/>
                <w:sz w:val="24"/>
                <w:szCs w:val="24"/>
              </w:rPr>
              <w:t xml:space="preserve">Guidance does not reflect that no new contracts for the purchase of additional survivor benefits can be entered into after 31/3/2014.  See the attached </w:t>
            </w:r>
            <w:hyperlink r:id="rId18" w:history="1">
              <w:r w:rsidRPr="003933E5">
                <w:rPr>
                  <w:rStyle w:val="Hyperlink"/>
                  <w:rFonts w:ascii="Arial" w:hAnsi="Arial" w:cs="Arial"/>
                  <w:b w:val="0"/>
                  <w:bCs w:val="0"/>
                  <w:sz w:val="24"/>
                  <w:szCs w:val="24"/>
                </w:rPr>
                <w:t>document</w:t>
              </w:r>
            </w:hyperlink>
            <w:r>
              <w:rPr>
                <w:rFonts w:ascii="Arial" w:hAnsi="Arial" w:cs="Arial"/>
                <w:b w:val="0"/>
                <w:sz w:val="24"/>
                <w:szCs w:val="24"/>
              </w:rPr>
              <w:t xml:space="preserve"> setting out all the necessary amendments. </w:t>
            </w:r>
          </w:p>
          <w:p w:rsidR="004E6D92" w:rsidRDefault="004E6D92" w:rsidP="003933E5">
            <w:pPr>
              <w:rPr>
                <w:rFonts w:ascii="Arial" w:hAnsi="Arial" w:cs="Arial"/>
                <w:b w:val="0"/>
                <w:sz w:val="24"/>
                <w:szCs w:val="24"/>
              </w:rPr>
            </w:pPr>
          </w:p>
          <w:p w:rsidR="004E6D92" w:rsidRDefault="004E6D92" w:rsidP="003933E5">
            <w:pPr>
              <w:rPr>
                <w:rFonts w:ascii="Arial" w:hAnsi="Arial" w:cs="Arial"/>
                <w:b w:val="0"/>
                <w:sz w:val="24"/>
                <w:szCs w:val="24"/>
              </w:rPr>
            </w:pPr>
            <w:r>
              <w:rPr>
                <w:rFonts w:ascii="Arial" w:hAnsi="Arial" w:cs="Arial"/>
                <w:b w:val="0"/>
                <w:sz w:val="24"/>
                <w:szCs w:val="24"/>
              </w:rPr>
              <w:t xml:space="preserve">Bob Holloway confirmed regulatory references are all correct. </w:t>
            </w:r>
          </w:p>
          <w:p w:rsidR="004E6D92" w:rsidRDefault="004E6D92" w:rsidP="003933E5">
            <w:pPr>
              <w:rPr>
                <w:rFonts w:ascii="Arial" w:hAnsi="Arial" w:cs="Arial"/>
                <w:b w:val="0"/>
                <w:sz w:val="24"/>
                <w:szCs w:val="24"/>
              </w:rPr>
            </w:pPr>
          </w:p>
          <w:p w:rsidR="003933E5" w:rsidRPr="003933E5" w:rsidRDefault="003933E5" w:rsidP="003933E5">
            <w:pPr>
              <w:rPr>
                <w:rFonts w:ascii="Arial" w:hAnsi="Arial" w:cs="Arial"/>
                <w:b w:val="0"/>
                <w:sz w:val="24"/>
                <w:szCs w:val="24"/>
              </w:rPr>
            </w:pPr>
            <w:r>
              <w:rPr>
                <w:rFonts w:ascii="Arial" w:hAnsi="Arial" w:cs="Arial"/>
                <w:b w:val="0"/>
                <w:sz w:val="24"/>
                <w:szCs w:val="24"/>
              </w:rPr>
              <w:t xml:space="preserve">Query first raised on 26/02/2016. </w:t>
            </w:r>
          </w:p>
        </w:tc>
      </w:tr>
    </w:tbl>
    <w:p w:rsidR="00A7164E" w:rsidRDefault="00A7164E"/>
    <w:tbl>
      <w:tblPr>
        <w:tblStyle w:val="GridTable4-Accent3"/>
        <w:tblW w:w="0" w:type="auto"/>
        <w:tblLook w:val="04A0" w:firstRow="1" w:lastRow="0" w:firstColumn="1" w:lastColumn="0" w:noHBand="0" w:noVBand="1"/>
      </w:tblPr>
      <w:tblGrid>
        <w:gridCol w:w="1413"/>
        <w:gridCol w:w="8647"/>
        <w:gridCol w:w="3888"/>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88"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C22E6B"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60" w:type="dxa"/>
            <w:gridSpan w:val="2"/>
            <w:shd w:val="clear" w:color="auto" w:fill="002060"/>
            <w:vAlign w:val="center"/>
          </w:tcPr>
          <w:p w:rsidR="00C22E6B" w:rsidRPr="00643BA9" w:rsidRDefault="00C22E6B" w:rsidP="005432DC">
            <w:pPr>
              <w:jc w:val="center"/>
              <w:rPr>
                <w:rFonts w:ascii="Arial" w:hAnsi="Arial" w:cs="Arial"/>
                <w:b w:val="0"/>
                <w:bCs w:val="0"/>
                <w:sz w:val="28"/>
                <w:szCs w:val="28"/>
              </w:rPr>
            </w:pPr>
            <w:r w:rsidRPr="00643BA9">
              <w:rPr>
                <w:rFonts w:ascii="Arial" w:hAnsi="Arial" w:cs="Arial"/>
                <w:sz w:val="28"/>
                <w:szCs w:val="28"/>
              </w:rPr>
              <w:t>All Statutory guidance where appropriate</w:t>
            </w:r>
          </w:p>
        </w:tc>
        <w:tc>
          <w:tcPr>
            <w:tcW w:w="3888" w:type="dxa"/>
            <w:shd w:val="clear" w:color="auto" w:fill="002060"/>
            <w:vAlign w:val="center"/>
          </w:tcPr>
          <w:p w:rsidR="00C22E6B" w:rsidRPr="00B01799" w:rsidRDefault="00047E7C"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V</w:t>
            </w:r>
            <w:r w:rsidR="00C22E6B" w:rsidRPr="00B01799">
              <w:rPr>
                <w:rFonts w:ascii="Arial" w:hAnsi="Arial" w:cs="Arial"/>
                <w:b/>
                <w:sz w:val="28"/>
                <w:szCs w:val="28"/>
              </w:rPr>
              <w:t>arious</w:t>
            </w:r>
          </w:p>
        </w:tc>
      </w:tr>
      <w:tr w:rsidR="00C22E6B" w:rsidTr="00C22E6B">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C22E6B" w:rsidRPr="00337AC2" w:rsidRDefault="00C22E6B" w:rsidP="00337AC2">
            <w:pPr>
              <w:rPr>
                <w:rFonts w:ascii="Arial" w:hAnsi="Arial" w:cs="Arial"/>
                <w:b w:val="0"/>
                <w:bCs w:val="0"/>
                <w:sz w:val="24"/>
                <w:szCs w:val="24"/>
              </w:rPr>
            </w:pPr>
            <w:r>
              <w:rPr>
                <w:rFonts w:ascii="Arial" w:hAnsi="Arial" w:cs="Arial"/>
                <w:sz w:val="24"/>
                <w:szCs w:val="24"/>
              </w:rPr>
              <w:t xml:space="preserve">Query 12. </w:t>
            </w:r>
            <w:bookmarkStart w:id="8" w:name="twelve"/>
            <w:bookmarkEnd w:id="8"/>
          </w:p>
        </w:tc>
        <w:tc>
          <w:tcPr>
            <w:tcW w:w="12535" w:type="dxa"/>
            <w:gridSpan w:val="2"/>
            <w:shd w:val="clear" w:color="auto" w:fill="FFFFFF" w:themeFill="background1"/>
          </w:tcPr>
          <w:p w:rsidR="00C22E6B" w:rsidRPr="00047E7C" w:rsidRDefault="00BC4961" w:rsidP="00047E7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Some</w:t>
            </w:r>
            <w:r w:rsidR="00C22E6B" w:rsidRPr="00047E7C">
              <w:rPr>
                <w:rFonts w:ascii="Arial" w:hAnsi="Arial" w:cs="Arial"/>
                <w:b/>
                <w:sz w:val="24"/>
                <w:szCs w:val="24"/>
              </w:rPr>
              <w:t xml:space="preserve"> of the statutory </w:t>
            </w:r>
            <w:r w:rsidR="00047E7C" w:rsidRPr="00047E7C">
              <w:rPr>
                <w:rFonts w:ascii="Arial" w:hAnsi="Arial" w:cs="Arial"/>
                <w:b/>
                <w:sz w:val="24"/>
                <w:szCs w:val="24"/>
              </w:rPr>
              <w:t>guidance still refers/links to the withdrawn</w:t>
            </w:r>
            <w:r w:rsidR="00C22E6B" w:rsidRPr="00047E7C">
              <w:rPr>
                <w:rFonts w:ascii="Arial" w:hAnsi="Arial" w:cs="Arial"/>
                <w:b/>
                <w:sz w:val="24"/>
                <w:szCs w:val="24"/>
              </w:rPr>
              <w:t xml:space="preserve"> </w:t>
            </w:r>
            <w:r w:rsidR="00047E7C">
              <w:rPr>
                <w:rFonts w:ascii="Arial" w:hAnsi="Arial" w:cs="Arial"/>
                <w:b/>
                <w:sz w:val="24"/>
                <w:szCs w:val="24"/>
              </w:rPr>
              <w:t xml:space="preserve">Registered Pension Scheme Manual (RPSM) </w:t>
            </w:r>
            <w:r w:rsidR="00C22E6B" w:rsidRPr="00047E7C">
              <w:rPr>
                <w:rFonts w:ascii="Arial" w:hAnsi="Arial" w:cs="Arial"/>
                <w:b/>
                <w:sz w:val="24"/>
                <w:szCs w:val="24"/>
              </w:rPr>
              <w:t xml:space="preserve"> </w:t>
            </w:r>
          </w:p>
        </w:tc>
      </w:tr>
      <w:tr w:rsidR="00C22E6B"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C22E6B" w:rsidRPr="00047E7C" w:rsidRDefault="00047E7C" w:rsidP="00047E7C">
            <w:pPr>
              <w:rPr>
                <w:rFonts w:ascii="Arial" w:hAnsi="Arial" w:cs="Arial"/>
                <w:b w:val="0"/>
                <w:sz w:val="24"/>
                <w:szCs w:val="24"/>
              </w:rPr>
            </w:pPr>
            <w:r>
              <w:rPr>
                <w:rFonts w:ascii="Arial" w:hAnsi="Arial" w:cs="Arial"/>
                <w:b w:val="0"/>
                <w:sz w:val="24"/>
                <w:szCs w:val="24"/>
              </w:rPr>
              <w:t xml:space="preserve">All references and hyperlinks should now refer to the relevant </w:t>
            </w:r>
            <w:hyperlink r:id="rId19" w:history="1">
              <w:r w:rsidRPr="00047E7C">
                <w:rPr>
                  <w:rStyle w:val="Hyperlink"/>
                  <w:rFonts w:ascii="Arial" w:hAnsi="Arial" w:cs="Arial"/>
                  <w:b w:val="0"/>
                  <w:bCs w:val="0"/>
                  <w:sz w:val="24"/>
                  <w:szCs w:val="24"/>
                </w:rPr>
                <w:t>Pensions Tax Manual</w:t>
              </w:r>
            </w:hyperlink>
            <w:r>
              <w:rPr>
                <w:rFonts w:ascii="Arial" w:hAnsi="Arial" w:cs="Arial"/>
                <w:b w:val="0"/>
                <w:sz w:val="24"/>
                <w:szCs w:val="24"/>
              </w:rPr>
              <w:t xml:space="preserve"> (PTM)</w:t>
            </w:r>
            <w:r w:rsidR="00037F31">
              <w:rPr>
                <w:rFonts w:ascii="Arial" w:hAnsi="Arial" w:cs="Arial"/>
                <w:b w:val="0"/>
                <w:sz w:val="24"/>
                <w:szCs w:val="24"/>
              </w:rPr>
              <w:t xml:space="preserve"> reference. </w:t>
            </w:r>
          </w:p>
        </w:tc>
      </w:tr>
    </w:tbl>
    <w:p w:rsidR="00BC4961" w:rsidRDefault="00BC4961"/>
    <w:tbl>
      <w:tblPr>
        <w:tblStyle w:val="GridTable4-Accent3"/>
        <w:tblW w:w="0" w:type="auto"/>
        <w:tblLook w:val="04A0" w:firstRow="1" w:lastRow="0" w:firstColumn="1" w:lastColumn="0" w:noHBand="0" w:noVBand="1"/>
      </w:tblPr>
      <w:tblGrid>
        <w:gridCol w:w="1413"/>
        <w:gridCol w:w="8694"/>
        <w:gridCol w:w="3841"/>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7"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841"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037F31"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07" w:type="dxa"/>
            <w:gridSpan w:val="2"/>
            <w:shd w:val="clear" w:color="auto" w:fill="002060"/>
            <w:vAlign w:val="center"/>
          </w:tcPr>
          <w:p w:rsidR="00037F31" w:rsidRPr="00643BA9" w:rsidRDefault="00037F31" w:rsidP="005432DC">
            <w:pPr>
              <w:jc w:val="center"/>
              <w:rPr>
                <w:rFonts w:ascii="Arial" w:hAnsi="Arial" w:cs="Arial"/>
                <w:bCs w:val="0"/>
                <w:sz w:val="28"/>
                <w:szCs w:val="28"/>
              </w:rPr>
            </w:pPr>
            <w:r w:rsidRPr="00643BA9">
              <w:rPr>
                <w:rFonts w:ascii="Arial" w:eastAsia="Times New Roman" w:hAnsi="Arial" w:cs="Arial"/>
                <w:sz w:val="28"/>
                <w:szCs w:val="28"/>
                <w:lang w:eastAsia="en-GB"/>
              </w:rPr>
              <w:t>Individual Incoming &amp; Outgoing Transfers</w:t>
            </w:r>
          </w:p>
        </w:tc>
        <w:tc>
          <w:tcPr>
            <w:tcW w:w="3841" w:type="dxa"/>
            <w:shd w:val="clear" w:color="auto" w:fill="002060"/>
            <w:vAlign w:val="center"/>
          </w:tcPr>
          <w:p w:rsidR="00037F31" w:rsidRPr="00B01799" w:rsidRDefault="00037F31"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08/04/2016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643BA9" w:rsidRDefault="001B155C" w:rsidP="001B155C">
            <w:pPr>
              <w:rPr>
                <w:rFonts w:ascii="Arial" w:hAnsi="Arial" w:cs="Arial"/>
                <w:bCs w:val="0"/>
                <w:sz w:val="24"/>
                <w:szCs w:val="24"/>
              </w:rPr>
            </w:pPr>
            <w:r w:rsidRPr="00643BA9">
              <w:rPr>
                <w:rFonts w:ascii="Arial" w:hAnsi="Arial" w:cs="Arial"/>
                <w:sz w:val="24"/>
                <w:szCs w:val="24"/>
              </w:rPr>
              <w:t>Query 8:</w:t>
            </w:r>
            <w:bookmarkStart w:id="9" w:name="eight"/>
            <w:bookmarkEnd w:id="9"/>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Guidance is not prescriptive enough when referring to when a member who has flexibly retired can transfer out a separate deferred benefit.  </w:t>
            </w:r>
          </w:p>
        </w:tc>
      </w:tr>
      <w:tr w:rsidR="001B155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Pr="00370F5E" w:rsidRDefault="001B155C" w:rsidP="001B155C">
            <w:pPr>
              <w:rPr>
                <w:rFonts w:ascii="Arial" w:hAnsi="Arial" w:cs="Arial"/>
                <w:b w:val="0"/>
                <w:sz w:val="24"/>
                <w:szCs w:val="24"/>
              </w:rPr>
            </w:pPr>
            <w:r w:rsidRPr="00370F5E">
              <w:rPr>
                <w:rFonts w:ascii="Arial" w:hAnsi="Arial" w:cs="Arial"/>
                <w:b w:val="0"/>
                <w:sz w:val="24"/>
                <w:szCs w:val="24"/>
              </w:rPr>
              <w:t xml:space="preserve">Paragraph 2.24 A member may be receiving pension benefits whilst still accruing further benefits, for example after “flexible retirement”. If such a member leaves service and requests a Club transfer or CETV (for the purposes of transferring a pension, not for divorce purposes) then the Club transfer or CETV should allow only for the deferred benefits but not the benefits in payment. The benefits in payment may not be transferred, and would only be considered when calculating a CETV for divorce purposes”. </w:t>
            </w:r>
          </w:p>
          <w:p w:rsidR="001B155C" w:rsidRPr="00370F5E"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sidRPr="00370F5E">
              <w:rPr>
                <w:rFonts w:ascii="Arial" w:hAnsi="Arial" w:cs="Arial"/>
                <w:b w:val="0"/>
                <w:sz w:val="24"/>
                <w:szCs w:val="24"/>
              </w:rPr>
              <w:t xml:space="preserve">However, </w:t>
            </w:r>
            <w:r>
              <w:rPr>
                <w:rFonts w:ascii="Arial" w:hAnsi="Arial" w:cs="Arial"/>
                <w:b w:val="0"/>
                <w:sz w:val="24"/>
                <w:szCs w:val="24"/>
              </w:rPr>
              <w:t xml:space="preserve">in LGA’s view the only circumstances that this would be permitted would be for a Club transfer. See </w:t>
            </w:r>
            <w:hyperlink r:id="rId20"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full details of query.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04/05/2016</w:t>
            </w:r>
          </w:p>
        </w:tc>
      </w:tr>
      <w:tr w:rsidR="001B155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1B155C" w:rsidRPr="005B1628" w:rsidRDefault="001B155C" w:rsidP="001B155C">
            <w:pPr>
              <w:rPr>
                <w:rFonts w:ascii="Arial" w:hAnsi="Arial" w:cs="Arial"/>
                <w:sz w:val="24"/>
                <w:szCs w:val="24"/>
              </w:rPr>
            </w:pPr>
            <w:r w:rsidRPr="005B1628">
              <w:rPr>
                <w:rFonts w:ascii="Arial" w:hAnsi="Arial" w:cs="Arial"/>
                <w:sz w:val="24"/>
                <w:szCs w:val="24"/>
              </w:rPr>
              <w:lastRenderedPageBreak/>
              <w:t xml:space="preserve">Query 14: </w:t>
            </w:r>
            <w:bookmarkStart w:id="10" w:name="fourteen"/>
            <w:bookmarkEnd w:id="10"/>
            <w:r w:rsidRPr="005B1628">
              <w:rPr>
                <w:rFonts w:ascii="Arial" w:hAnsi="Arial" w:cs="Arial"/>
                <w:sz w:val="24"/>
                <w:szCs w:val="24"/>
              </w:rPr>
              <w:t xml:space="preserve">  </w:t>
            </w:r>
          </w:p>
        </w:tc>
        <w:tc>
          <w:tcPr>
            <w:tcW w:w="12535" w:type="dxa"/>
            <w:gridSpan w:val="2"/>
            <w:shd w:val="clear" w:color="auto" w:fill="FFFFFF" w:themeFill="background1"/>
          </w:tcPr>
          <w:p w:rsidR="001B155C" w:rsidRDefault="001B155C" w:rsidP="001B155C">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Multiple queries raised by Capita on the transfer guidance</w:t>
            </w:r>
          </w:p>
        </w:tc>
      </w:tr>
      <w:tr w:rsidR="001B155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1B155C" w:rsidRDefault="001B155C" w:rsidP="001B155C">
            <w:pPr>
              <w:rPr>
                <w:rFonts w:ascii="Arial" w:hAnsi="Arial" w:cs="Arial"/>
                <w:sz w:val="24"/>
                <w:szCs w:val="24"/>
              </w:rPr>
            </w:pPr>
            <w:r>
              <w:rPr>
                <w:rFonts w:ascii="Arial" w:hAnsi="Arial" w:cs="Arial"/>
                <w:sz w:val="24"/>
                <w:szCs w:val="24"/>
              </w:rPr>
              <w:t>Brief description:</w:t>
            </w:r>
          </w:p>
          <w:p w:rsidR="001B155C" w:rsidRDefault="001B155C" w:rsidP="001B155C">
            <w:pPr>
              <w:rPr>
                <w:rFonts w:ascii="Arial" w:hAnsi="Arial" w:cs="Arial"/>
                <w:b w:val="0"/>
                <w:sz w:val="24"/>
                <w:szCs w:val="24"/>
              </w:rPr>
            </w:pPr>
            <w:r>
              <w:rPr>
                <w:rFonts w:ascii="Arial" w:hAnsi="Arial" w:cs="Arial"/>
                <w:b w:val="0"/>
                <w:sz w:val="24"/>
                <w:szCs w:val="24"/>
              </w:rPr>
              <w:t xml:space="preserve">See </w:t>
            </w:r>
            <w:hyperlink r:id="rId21" w:history="1">
              <w:r w:rsidRPr="00C73A2A">
                <w:rPr>
                  <w:rStyle w:val="Hyperlink"/>
                  <w:rFonts w:ascii="Arial" w:hAnsi="Arial" w:cs="Arial"/>
                  <w:b w:val="0"/>
                  <w:bCs w:val="0"/>
                  <w:sz w:val="24"/>
                  <w:szCs w:val="24"/>
                </w:rPr>
                <w:t>attached document</w:t>
              </w:r>
            </w:hyperlink>
            <w:r>
              <w:rPr>
                <w:rFonts w:ascii="Arial" w:hAnsi="Arial" w:cs="Arial"/>
                <w:b w:val="0"/>
                <w:sz w:val="24"/>
                <w:szCs w:val="24"/>
              </w:rPr>
              <w:t xml:space="preserve"> for details.  LGA reviewed status of queries on 25/05/2017 and have included updates to each query raised in the document. </w:t>
            </w:r>
          </w:p>
          <w:p w:rsidR="001B155C" w:rsidRDefault="001B155C" w:rsidP="001B155C">
            <w:pPr>
              <w:rPr>
                <w:rFonts w:ascii="Arial" w:hAnsi="Arial" w:cs="Arial"/>
                <w:b w:val="0"/>
                <w:sz w:val="24"/>
                <w:szCs w:val="24"/>
              </w:rPr>
            </w:pPr>
          </w:p>
          <w:p w:rsidR="001B155C" w:rsidRDefault="001B155C" w:rsidP="001B155C">
            <w:pPr>
              <w:rPr>
                <w:rFonts w:ascii="Arial" w:hAnsi="Arial" w:cs="Arial"/>
                <w:b w:val="0"/>
                <w:sz w:val="24"/>
                <w:szCs w:val="24"/>
              </w:rPr>
            </w:pPr>
            <w:r>
              <w:rPr>
                <w:rFonts w:ascii="Arial" w:hAnsi="Arial" w:cs="Arial"/>
                <w:b w:val="0"/>
                <w:sz w:val="24"/>
                <w:szCs w:val="24"/>
              </w:rPr>
              <w:t>Query first raised on 09/05/2016</w:t>
            </w:r>
          </w:p>
        </w:tc>
      </w:tr>
      <w:tr w:rsidR="005432DC" w:rsidTr="005432D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1B155C" w:rsidRDefault="005432DC" w:rsidP="005432DC">
            <w:pPr>
              <w:rPr>
                <w:rFonts w:ascii="Arial" w:hAnsi="Arial" w:cs="Arial"/>
                <w:b w:val="0"/>
                <w:sz w:val="24"/>
                <w:szCs w:val="24"/>
              </w:rPr>
            </w:pPr>
            <w:r>
              <w:rPr>
                <w:rFonts w:ascii="Arial" w:hAnsi="Arial" w:cs="Arial"/>
                <w:bCs w:val="0"/>
                <w:sz w:val="24"/>
                <w:szCs w:val="24"/>
              </w:rPr>
              <w:t>Query 22:</w:t>
            </w:r>
            <w:bookmarkStart w:id="11" w:name="twentytwo"/>
            <w:bookmarkEnd w:id="11"/>
          </w:p>
        </w:tc>
        <w:tc>
          <w:tcPr>
            <w:tcW w:w="12535" w:type="dxa"/>
            <w:gridSpan w:val="2"/>
            <w:shd w:val="clear" w:color="auto" w:fill="FFFFFF" w:themeFill="background1"/>
          </w:tcPr>
          <w:p w:rsidR="005432DC" w:rsidRPr="001B155C"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
                <w:sz w:val="24"/>
                <w:szCs w:val="24"/>
              </w:rPr>
              <w:t>Guidance needs to be updated to take into account the revised Club memorandum</w:t>
            </w:r>
          </w:p>
        </w:tc>
      </w:tr>
      <w:tr w:rsidR="005432DC" w:rsidTr="009E45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Default="005432DC" w:rsidP="005432DC">
            <w:pPr>
              <w:rPr>
                <w:rFonts w:ascii="Arial" w:hAnsi="Arial" w:cs="Arial"/>
                <w:b w:val="0"/>
                <w:sz w:val="24"/>
                <w:szCs w:val="24"/>
              </w:rPr>
            </w:pPr>
            <w:r>
              <w:rPr>
                <w:rFonts w:ascii="Arial" w:hAnsi="Arial" w:cs="Arial"/>
                <w:b w:val="0"/>
                <w:sz w:val="24"/>
                <w:szCs w:val="24"/>
              </w:rPr>
              <w:t xml:space="preserve">A revised Club memorandum is effective form 1 March 2017.  All references in the transfer guidance are to the old guidance.  In addition GMPs are no longer taken account if Club transfer which is not reflected in this guidance. </w:t>
            </w:r>
          </w:p>
          <w:p w:rsidR="005432DC" w:rsidRDefault="005432DC" w:rsidP="005432DC">
            <w:pPr>
              <w:rPr>
                <w:rFonts w:ascii="Arial" w:hAnsi="Arial" w:cs="Arial"/>
                <w:b w:val="0"/>
                <w:sz w:val="24"/>
                <w:szCs w:val="24"/>
              </w:rPr>
            </w:pPr>
          </w:p>
          <w:p w:rsidR="005432DC" w:rsidRPr="001B155C" w:rsidRDefault="005432DC" w:rsidP="005432DC">
            <w:pPr>
              <w:rPr>
                <w:rFonts w:ascii="Arial" w:hAnsi="Arial" w:cs="Arial"/>
                <w:b w:val="0"/>
                <w:sz w:val="24"/>
                <w:szCs w:val="24"/>
              </w:rPr>
            </w:pPr>
            <w:r>
              <w:rPr>
                <w:rFonts w:ascii="Arial" w:hAnsi="Arial" w:cs="Arial"/>
                <w:b w:val="0"/>
                <w:sz w:val="24"/>
                <w:szCs w:val="24"/>
              </w:rPr>
              <w:t>Query first raised 07/12/2016</w:t>
            </w:r>
          </w:p>
        </w:tc>
      </w:tr>
      <w:tr w:rsidR="005432DC" w:rsidTr="001B155C">
        <w:trPr>
          <w:trHeight w:val="397"/>
        </w:trPr>
        <w:tc>
          <w:tcPr>
            <w:cnfStyle w:val="001000000000" w:firstRow="0" w:lastRow="0" w:firstColumn="1" w:lastColumn="0" w:oddVBand="0" w:evenVBand="0" w:oddHBand="0" w:evenHBand="0" w:firstRowFirstColumn="0" w:firstRowLastColumn="0" w:lastRowFirstColumn="0" w:lastRowLastColumn="0"/>
            <w:tcW w:w="1413" w:type="dxa"/>
            <w:shd w:val="clear" w:color="auto" w:fill="FFFFFF" w:themeFill="background1"/>
          </w:tcPr>
          <w:p w:rsidR="005432DC" w:rsidRPr="00A77A81" w:rsidRDefault="005432DC" w:rsidP="005432DC">
            <w:pPr>
              <w:rPr>
                <w:rFonts w:ascii="Arial" w:hAnsi="Arial" w:cs="Arial"/>
                <w:bCs w:val="0"/>
                <w:strike/>
                <w:sz w:val="24"/>
                <w:szCs w:val="24"/>
              </w:rPr>
            </w:pPr>
            <w:r w:rsidRPr="00A77A81">
              <w:rPr>
                <w:rFonts w:ascii="Arial" w:hAnsi="Arial" w:cs="Arial"/>
                <w:bCs w:val="0"/>
                <w:strike/>
                <w:sz w:val="24"/>
                <w:szCs w:val="24"/>
              </w:rPr>
              <w:t>Query 28:</w:t>
            </w:r>
            <w:bookmarkStart w:id="12" w:name="twentyeight"/>
            <w:bookmarkEnd w:id="12"/>
          </w:p>
        </w:tc>
        <w:tc>
          <w:tcPr>
            <w:tcW w:w="12535" w:type="dxa"/>
            <w:gridSpan w:val="2"/>
            <w:shd w:val="clear" w:color="auto" w:fill="FFFFFF" w:themeFill="background1"/>
          </w:tcPr>
          <w:p w:rsidR="005432DC" w:rsidRPr="00A77A81" w:rsidRDefault="005432DC"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77A81">
              <w:rPr>
                <w:rFonts w:ascii="Arial" w:hAnsi="Arial" w:cs="Arial"/>
                <w:b/>
                <w:strike/>
                <w:sz w:val="24"/>
                <w:szCs w:val="24"/>
              </w:rPr>
              <w:t>Valuing protected rights – do we need to refer each case to GAD?</w:t>
            </w:r>
          </w:p>
        </w:tc>
      </w:tr>
      <w:tr w:rsidR="005432DC"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 xml:space="preserve">Para 2.31 of the individual transfers guidance dated 8th April 2016 says that formulas and factors to value protected rights have not been included in the suite and such calculations should be referred to DCLG for onward transmission to GAD. This mirrors the equivalent para 2.32 in the previous version of the guidance dated 28th March 2014.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However, in September 2015 we had confirmation from James Pepler (see attached email) that these cases did not need to be referred to DCLG and instead funds could use the factors in table 6.1 of the factor suite dated 22nd February 2012 (</w:t>
            </w:r>
            <w:hyperlink r:id="rId22" w:history="1">
              <w:r w:rsidRPr="00A77A81">
                <w:rPr>
                  <w:rStyle w:val="Hyperlink"/>
                  <w:rFonts w:ascii="Arial" w:hAnsi="Arial" w:cs="Arial"/>
                  <w:b w:val="0"/>
                  <w:strike/>
                  <w:sz w:val="24"/>
                  <w:szCs w:val="24"/>
                </w:rPr>
                <w:t>http://www.lgpsregs.org/timelineregs/GAD/EW_TVfactors_v41_220212.pdf</w:t>
              </w:r>
            </w:hyperlink>
            <w:r w:rsidRPr="00A77A81">
              <w:rPr>
                <w:rFonts w:ascii="Arial" w:hAnsi="Arial" w:cs="Arial"/>
                <w:b w:val="0"/>
                <w:strike/>
                <w:sz w:val="24"/>
                <w:szCs w:val="24"/>
              </w:rPr>
              <w:t xml:space="preserve">)) to value protected rights. </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Can funds still use those factors or should these cases be referred on to DCLG?</w:t>
            </w:r>
          </w:p>
          <w:p w:rsidR="005432DC" w:rsidRPr="00A77A81" w:rsidRDefault="005432DC" w:rsidP="005432DC">
            <w:pPr>
              <w:rPr>
                <w:rFonts w:ascii="Arial" w:hAnsi="Arial" w:cs="Arial"/>
                <w:b w:val="0"/>
                <w:strike/>
                <w:sz w:val="24"/>
                <w:szCs w:val="24"/>
              </w:rPr>
            </w:pPr>
          </w:p>
          <w:p w:rsidR="005432DC" w:rsidRPr="00A77A81" w:rsidRDefault="005432DC" w:rsidP="005432DC">
            <w:pPr>
              <w:rPr>
                <w:rFonts w:ascii="Arial" w:hAnsi="Arial" w:cs="Arial"/>
                <w:b w:val="0"/>
                <w:strike/>
                <w:sz w:val="24"/>
                <w:szCs w:val="24"/>
              </w:rPr>
            </w:pPr>
            <w:r w:rsidRPr="00A77A81">
              <w:rPr>
                <w:rFonts w:ascii="Arial" w:hAnsi="Arial" w:cs="Arial"/>
                <w:b w:val="0"/>
                <w:strike/>
                <w:sz w:val="24"/>
                <w:szCs w:val="24"/>
              </w:rPr>
              <w:t>Query first raised 02/08/2016</w:t>
            </w:r>
          </w:p>
        </w:tc>
      </w:tr>
      <w:tr w:rsidR="007070E1" w:rsidTr="007070E1">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7070E1" w:rsidRPr="00A77A81" w:rsidRDefault="007070E1" w:rsidP="007070E1">
            <w:pPr>
              <w:rPr>
                <w:rFonts w:ascii="Arial" w:hAnsi="Arial" w:cs="Arial"/>
                <w:b w:val="0"/>
                <w:color w:val="FF0000"/>
                <w:sz w:val="24"/>
                <w:szCs w:val="24"/>
              </w:rPr>
            </w:pPr>
            <w:r w:rsidRPr="00A77A81">
              <w:rPr>
                <w:rFonts w:ascii="Arial" w:hAnsi="Arial" w:cs="Arial"/>
                <w:b w:val="0"/>
                <w:color w:val="FF0000"/>
                <w:sz w:val="24"/>
                <w:szCs w:val="24"/>
              </w:rPr>
              <w:t xml:space="preserve">Update: James Pepler confirmed by email on 25/5/2017 that </w:t>
            </w:r>
            <w:r w:rsidR="00A77A81" w:rsidRPr="00A77A81">
              <w:rPr>
                <w:rFonts w:ascii="Arial" w:hAnsi="Arial" w:cs="Arial"/>
                <w:b w:val="0"/>
                <w:color w:val="FF0000"/>
                <w:sz w:val="24"/>
                <w:szCs w:val="24"/>
              </w:rPr>
              <w:t xml:space="preserve">it is not possible to </w:t>
            </w:r>
            <w:r w:rsidRPr="00A77A81">
              <w:rPr>
                <w:rFonts w:ascii="Arial" w:hAnsi="Arial" w:cs="Arial"/>
                <w:b w:val="0"/>
                <w:color w:val="FF0000"/>
                <w:sz w:val="24"/>
                <w:szCs w:val="24"/>
              </w:rPr>
              <w:t>use the 2012 factors any more so the guidance is correct and these cases do need to be referred to GAD.</w:t>
            </w:r>
          </w:p>
          <w:p w:rsidR="007070E1" w:rsidRPr="001B155C" w:rsidRDefault="007070E1" w:rsidP="005432DC">
            <w:pPr>
              <w:rPr>
                <w:rFonts w:ascii="Arial" w:hAnsi="Arial" w:cs="Arial"/>
                <w:b w:val="0"/>
                <w:sz w:val="24"/>
                <w:szCs w:val="24"/>
              </w:rPr>
            </w:pPr>
          </w:p>
        </w:tc>
      </w:tr>
    </w:tbl>
    <w:p w:rsidR="004E0588" w:rsidRDefault="004E0588"/>
    <w:p w:rsidR="00797B9C" w:rsidRDefault="00797B9C"/>
    <w:p w:rsidR="00797B9C" w:rsidRDefault="00797B9C"/>
    <w:p w:rsidR="00797B9C" w:rsidRDefault="00797B9C"/>
    <w:tbl>
      <w:tblPr>
        <w:tblStyle w:val="GridTable4-Accent3"/>
        <w:tblW w:w="0" w:type="auto"/>
        <w:tblLook w:val="04A0" w:firstRow="1" w:lastRow="0" w:firstColumn="1" w:lastColumn="0" w:noHBand="0" w:noVBand="1"/>
      </w:tblPr>
      <w:tblGrid>
        <w:gridCol w:w="1555"/>
        <w:gridCol w:w="8930"/>
        <w:gridCol w:w="3463"/>
      </w:tblGrid>
      <w:tr w:rsidR="004E0588" w:rsidRPr="00CB40A9" w:rsidTr="004E0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4E0588" w:rsidRPr="00CB40A9" w:rsidRDefault="004E0588" w:rsidP="004E0588">
            <w:pPr>
              <w:jc w:val="center"/>
              <w:rPr>
                <w:rFonts w:ascii="Arial" w:hAnsi="Arial" w:cs="Arial"/>
                <w:sz w:val="36"/>
                <w:szCs w:val="36"/>
              </w:rPr>
            </w:pPr>
            <w:r w:rsidRPr="00CB40A9">
              <w:rPr>
                <w:rFonts w:ascii="Arial" w:hAnsi="Arial" w:cs="Arial"/>
                <w:sz w:val="36"/>
                <w:szCs w:val="36"/>
              </w:rPr>
              <w:t>Guidance</w:t>
            </w:r>
          </w:p>
        </w:tc>
        <w:tc>
          <w:tcPr>
            <w:tcW w:w="3463" w:type="dxa"/>
          </w:tcPr>
          <w:p w:rsidR="004E0588" w:rsidRPr="00CB40A9" w:rsidRDefault="004E0588" w:rsidP="004E058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4E0588" w:rsidTr="004E05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tcPr>
          <w:p w:rsidR="004E0588" w:rsidRPr="004E0588" w:rsidRDefault="004E0588" w:rsidP="004E0588">
            <w:pPr>
              <w:rPr>
                <w:rFonts w:ascii="Arial" w:eastAsia="Times New Roman" w:hAnsi="Arial" w:cs="Arial"/>
                <w:b w:val="0"/>
                <w:bCs w:val="0"/>
                <w:color w:val="FFFFFF" w:themeColor="background1"/>
                <w:sz w:val="30"/>
                <w:szCs w:val="30"/>
                <w:lang w:eastAsia="en-GB"/>
              </w:rPr>
            </w:pPr>
            <w:r w:rsidRPr="004E0588">
              <w:rPr>
                <w:rFonts w:ascii="Arial" w:eastAsia="Times New Roman" w:hAnsi="Arial" w:cs="Arial"/>
                <w:sz w:val="30"/>
                <w:szCs w:val="30"/>
                <w:lang w:eastAsia="en-GB"/>
              </w:rPr>
              <w:t>Use of accumulated AVCs to provide additional pension under the Scheme Members who commenced payment of</w:t>
            </w:r>
            <w:r>
              <w:rPr>
                <w:rFonts w:ascii="Arial" w:eastAsia="Times New Roman" w:hAnsi="Arial" w:cs="Arial"/>
                <w:sz w:val="30"/>
                <w:szCs w:val="30"/>
                <w:lang w:eastAsia="en-GB"/>
              </w:rPr>
              <w:t xml:space="preserve"> </w:t>
            </w:r>
            <w:r w:rsidRPr="004E0588">
              <w:rPr>
                <w:rFonts w:ascii="Arial" w:eastAsia="Times New Roman" w:hAnsi="Arial" w:cs="Arial"/>
                <w:sz w:val="30"/>
                <w:szCs w:val="30"/>
                <w:lang w:eastAsia="en-GB"/>
              </w:rPr>
              <w:t xml:space="preserve">AVCs before 1 April 2014 and Councillor members </w:t>
            </w:r>
          </w:p>
        </w:tc>
        <w:tc>
          <w:tcPr>
            <w:tcW w:w="3463" w:type="dxa"/>
            <w:shd w:val="clear" w:color="auto" w:fill="002060"/>
            <w:vAlign w:val="center"/>
          </w:tcPr>
          <w:p w:rsidR="004E0588" w:rsidRPr="004E0588" w:rsidRDefault="004E0588" w:rsidP="004E058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4E0588">
              <w:rPr>
                <w:rFonts w:ascii="Arial" w:hAnsi="Arial" w:cs="Arial"/>
                <w:sz w:val="28"/>
                <w:szCs w:val="28"/>
              </w:rPr>
              <w:t>14/04/2016</w:t>
            </w:r>
          </w:p>
        </w:tc>
      </w:tr>
      <w:tr w:rsidR="004E0588" w:rsidTr="004E0588">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4E0588" w:rsidRPr="00AF7C6A" w:rsidRDefault="004E0588" w:rsidP="005432DC">
            <w:pPr>
              <w:rPr>
                <w:rFonts w:ascii="Arial" w:hAnsi="Arial" w:cs="Arial"/>
                <w:bCs w:val="0"/>
                <w:strike/>
                <w:sz w:val="24"/>
                <w:szCs w:val="24"/>
              </w:rPr>
            </w:pPr>
            <w:r w:rsidRPr="00AF7C6A">
              <w:rPr>
                <w:rFonts w:ascii="Arial" w:hAnsi="Arial" w:cs="Arial"/>
                <w:strike/>
                <w:sz w:val="24"/>
                <w:szCs w:val="24"/>
              </w:rPr>
              <w:t xml:space="preserve">Query 15: </w:t>
            </w:r>
            <w:bookmarkStart w:id="13" w:name="fifteen"/>
            <w:bookmarkEnd w:id="13"/>
          </w:p>
        </w:tc>
        <w:tc>
          <w:tcPr>
            <w:tcW w:w="12393" w:type="dxa"/>
            <w:gridSpan w:val="2"/>
            <w:shd w:val="clear" w:color="auto" w:fill="FFFFFF" w:themeFill="background1"/>
          </w:tcPr>
          <w:p w:rsidR="004E0588" w:rsidRPr="00AF7C6A" w:rsidRDefault="004E0588" w:rsidP="005432D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AF7C6A">
              <w:rPr>
                <w:rFonts w:ascii="Arial" w:hAnsi="Arial" w:cs="Arial"/>
                <w:b/>
                <w:strike/>
                <w:sz w:val="24"/>
                <w:szCs w:val="24"/>
              </w:rPr>
              <w:t>The title of the guidance incorrectly includes the reference to Councillor members who are debarred</w:t>
            </w:r>
          </w:p>
        </w:tc>
      </w:tr>
      <w:tr w:rsidR="004E0588" w:rsidTr="001B155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GAD confirmed it is also their understanding that councillors do not have this option so this guidance will be amended in due course to note this. </w:t>
            </w:r>
          </w:p>
          <w:p w:rsidR="004E0588" w:rsidRPr="00AF7C6A" w:rsidRDefault="004E0588" w:rsidP="005432DC">
            <w:pPr>
              <w:rPr>
                <w:rFonts w:ascii="Arial" w:hAnsi="Arial" w:cs="Arial"/>
                <w:b w:val="0"/>
                <w:strike/>
                <w:sz w:val="24"/>
                <w:szCs w:val="24"/>
              </w:rPr>
            </w:pPr>
          </w:p>
          <w:p w:rsidR="004E0588" w:rsidRPr="00AF7C6A" w:rsidRDefault="004E0588" w:rsidP="005432DC">
            <w:pPr>
              <w:rPr>
                <w:rFonts w:ascii="Arial" w:hAnsi="Arial" w:cs="Arial"/>
                <w:b w:val="0"/>
                <w:strike/>
                <w:sz w:val="24"/>
                <w:szCs w:val="24"/>
              </w:rPr>
            </w:pPr>
            <w:r w:rsidRPr="00AF7C6A">
              <w:rPr>
                <w:rFonts w:ascii="Arial" w:hAnsi="Arial" w:cs="Arial"/>
                <w:b w:val="0"/>
                <w:strike/>
                <w:sz w:val="24"/>
                <w:szCs w:val="24"/>
              </w:rPr>
              <w:t xml:space="preserve">Query first raised 12/05/2016/ </w:t>
            </w:r>
          </w:p>
        </w:tc>
      </w:tr>
      <w:tr w:rsidR="00AF7C6A" w:rsidTr="00AF7C6A">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AF7C6A" w:rsidRPr="00AF7C6A" w:rsidRDefault="00AF7C6A" w:rsidP="005432DC">
            <w:pPr>
              <w:rPr>
                <w:rFonts w:ascii="Arial" w:hAnsi="Arial" w:cs="Arial"/>
                <w:b w:val="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 (GAD) re-issued guidance on 6/6/2017 which corrected the above</w:t>
            </w:r>
          </w:p>
        </w:tc>
      </w:tr>
    </w:tbl>
    <w:p w:rsidR="005C18F5" w:rsidRDefault="005C18F5"/>
    <w:tbl>
      <w:tblPr>
        <w:tblStyle w:val="GridTable4-Accent3"/>
        <w:tblW w:w="0" w:type="auto"/>
        <w:tblLook w:val="04A0" w:firstRow="1" w:lastRow="0" w:firstColumn="1" w:lastColumn="0" w:noHBand="0" w:noVBand="1"/>
      </w:tblPr>
      <w:tblGrid>
        <w:gridCol w:w="1555"/>
        <w:gridCol w:w="8930"/>
        <w:gridCol w:w="3463"/>
      </w:tblGrid>
      <w:tr w:rsidR="00B01799" w:rsidRPr="00CB40A9" w:rsidTr="00B0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tcPr>
          <w:p w:rsidR="00B01799" w:rsidRPr="00CB40A9" w:rsidRDefault="00B01799" w:rsidP="00B01799">
            <w:pPr>
              <w:jc w:val="center"/>
              <w:rPr>
                <w:rFonts w:ascii="Arial" w:hAnsi="Arial" w:cs="Arial"/>
                <w:sz w:val="36"/>
                <w:szCs w:val="36"/>
              </w:rPr>
            </w:pPr>
            <w:r w:rsidRPr="00CB40A9">
              <w:rPr>
                <w:rFonts w:ascii="Arial" w:hAnsi="Arial" w:cs="Arial"/>
                <w:sz w:val="36"/>
                <w:szCs w:val="36"/>
              </w:rPr>
              <w:t>Guidance</w:t>
            </w:r>
          </w:p>
        </w:tc>
        <w:tc>
          <w:tcPr>
            <w:tcW w:w="3463" w:type="dxa"/>
          </w:tcPr>
          <w:p w:rsidR="00B01799" w:rsidRPr="00CB40A9" w:rsidRDefault="005432DC" w:rsidP="00B0179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 xml:space="preserve">Date </w:t>
            </w:r>
          </w:p>
        </w:tc>
      </w:tr>
      <w:tr w:rsidR="005C18F5"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5C18F5" w:rsidRPr="00B01799" w:rsidRDefault="005C18F5" w:rsidP="005432DC">
            <w:pPr>
              <w:jc w:val="center"/>
              <w:rPr>
                <w:rFonts w:ascii="Arial" w:hAnsi="Arial" w:cs="Arial"/>
                <w:bCs w:val="0"/>
                <w:sz w:val="28"/>
                <w:szCs w:val="28"/>
              </w:rPr>
            </w:pPr>
            <w:r w:rsidRPr="00B01799">
              <w:rPr>
                <w:rFonts w:ascii="Arial" w:hAnsi="Arial" w:cs="Arial"/>
                <w:sz w:val="28"/>
                <w:szCs w:val="28"/>
              </w:rPr>
              <w:t>Interfund transfers</w:t>
            </w:r>
          </w:p>
        </w:tc>
        <w:tc>
          <w:tcPr>
            <w:tcW w:w="3463" w:type="dxa"/>
            <w:shd w:val="clear" w:color="auto" w:fill="002060"/>
            <w:vAlign w:val="center"/>
          </w:tcPr>
          <w:p w:rsidR="005C18F5" w:rsidRPr="00B01799" w:rsidRDefault="005C18F5"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B01799">
              <w:rPr>
                <w:rFonts w:ascii="Arial" w:hAnsi="Arial" w:cs="Arial"/>
                <w:b/>
                <w:sz w:val="28"/>
                <w:szCs w:val="28"/>
              </w:rPr>
              <w:t>14/04/2016</w:t>
            </w:r>
          </w:p>
        </w:tc>
      </w:tr>
      <w:tr w:rsidR="005C18F5" w:rsidTr="005C18F5">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5C18F5" w:rsidRPr="00475DF4" w:rsidRDefault="005C18F5" w:rsidP="001B155C">
            <w:pPr>
              <w:rPr>
                <w:rFonts w:ascii="Arial" w:hAnsi="Arial" w:cs="Arial"/>
                <w:strike/>
                <w:sz w:val="24"/>
                <w:szCs w:val="24"/>
              </w:rPr>
            </w:pPr>
            <w:r w:rsidRPr="00475DF4">
              <w:rPr>
                <w:rFonts w:ascii="Arial" w:hAnsi="Arial" w:cs="Arial"/>
                <w:strike/>
                <w:sz w:val="24"/>
                <w:szCs w:val="24"/>
              </w:rPr>
              <w:t>Query 17:</w:t>
            </w:r>
            <w:bookmarkStart w:id="14" w:name="seventeen"/>
            <w:bookmarkEnd w:id="14"/>
          </w:p>
        </w:tc>
        <w:tc>
          <w:tcPr>
            <w:tcW w:w="12393" w:type="dxa"/>
            <w:gridSpan w:val="2"/>
            <w:shd w:val="clear" w:color="auto" w:fill="auto"/>
          </w:tcPr>
          <w:p w:rsidR="005C18F5" w:rsidRPr="00475DF4" w:rsidRDefault="005C18F5" w:rsidP="001B155C">
            <w:pPr>
              <w:cnfStyle w:val="000000000000" w:firstRow="0" w:lastRow="0" w:firstColumn="0" w:lastColumn="0" w:oddVBand="0" w:evenVBand="0" w:oddHBand="0" w:evenHBand="0" w:firstRowFirstColumn="0" w:firstRowLastColumn="0" w:lastRowFirstColumn="0" w:lastRowLastColumn="0"/>
              <w:rPr>
                <w:rFonts w:ascii="Arial" w:hAnsi="Arial" w:cs="Arial"/>
                <w:b/>
                <w:strike/>
                <w:sz w:val="24"/>
                <w:szCs w:val="24"/>
              </w:rPr>
            </w:pPr>
            <w:r w:rsidRPr="00475DF4">
              <w:rPr>
                <w:rFonts w:ascii="Arial" w:hAnsi="Arial" w:cs="Arial"/>
                <w:b/>
                <w:strike/>
                <w:sz w:val="24"/>
                <w:szCs w:val="24"/>
              </w:rPr>
              <w:t>Correction to wording in paragraph 3.8(a) required</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 xml:space="preserve">Para 3.8(a) of the interfund transfer guidance appears to be missing the words ‘of cessation’ before ‘of active membership’ </w:t>
            </w:r>
          </w:p>
          <w:p w:rsidR="005C18F5" w:rsidRPr="00475DF4" w:rsidRDefault="005C18F5" w:rsidP="005C18F5">
            <w:pPr>
              <w:rPr>
                <w:rFonts w:ascii="Arial" w:hAnsi="Arial" w:cs="Arial"/>
                <w:b w:val="0"/>
                <w:strike/>
                <w:color w:val="000000"/>
                <w:sz w:val="24"/>
                <w:szCs w:val="24"/>
              </w:rPr>
            </w:pPr>
          </w:p>
          <w:p w:rsidR="005C18F5" w:rsidRPr="00475DF4" w:rsidRDefault="005C18F5" w:rsidP="005C18F5">
            <w:pPr>
              <w:rPr>
                <w:rFonts w:ascii="Arial" w:hAnsi="Arial" w:cs="Arial"/>
                <w:b w:val="0"/>
                <w:strike/>
                <w:color w:val="000000"/>
                <w:sz w:val="24"/>
                <w:szCs w:val="24"/>
              </w:rPr>
            </w:pPr>
            <w:r w:rsidRPr="00475DF4">
              <w:rPr>
                <w:rFonts w:ascii="Arial" w:hAnsi="Arial" w:cs="Arial"/>
                <w:b w:val="0"/>
                <w:strike/>
                <w:color w:val="000000"/>
                <w:sz w:val="24"/>
                <w:szCs w:val="24"/>
              </w:rPr>
              <w:t>Query first raised 24/05/2016</w:t>
            </w:r>
          </w:p>
          <w:p w:rsidR="005C18F5" w:rsidRPr="00475DF4" w:rsidRDefault="005C18F5" w:rsidP="001B155C">
            <w:pPr>
              <w:rPr>
                <w:rFonts w:ascii="Arial" w:hAnsi="Arial" w:cs="Arial"/>
                <w:b w:val="0"/>
                <w:strike/>
                <w:sz w:val="24"/>
                <w:szCs w:val="24"/>
              </w:rPr>
            </w:pPr>
          </w:p>
        </w:tc>
      </w:tr>
      <w:tr w:rsidR="00475DF4" w:rsidTr="00475DF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475DF4" w:rsidRPr="00475DF4" w:rsidRDefault="00475DF4" w:rsidP="005C18F5">
            <w:pPr>
              <w:rPr>
                <w:rFonts w:ascii="Arial" w:hAnsi="Arial" w:cs="Arial"/>
                <w:b w:val="0"/>
                <w:color w:val="FF0000"/>
                <w:sz w:val="24"/>
                <w:szCs w:val="24"/>
              </w:rPr>
            </w:pPr>
            <w:r w:rsidRPr="00475DF4">
              <w:rPr>
                <w:rFonts w:ascii="Arial" w:hAnsi="Arial" w:cs="Arial"/>
                <w:b w:val="0"/>
                <w:color w:val="FF0000"/>
                <w:sz w:val="24"/>
                <w:szCs w:val="24"/>
              </w:rPr>
              <w:t xml:space="preserve">Update: </w:t>
            </w:r>
            <w:r>
              <w:rPr>
                <w:rFonts w:ascii="Arial" w:hAnsi="Arial" w:cs="Arial"/>
                <w:b w:val="0"/>
                <w:color w:val="FF0000"/>
                <w:sz w:val="24"/>
                <w:szCs w:val="24"/>
              </w:rPr>
              <w:t>Lamide Shittu</w:t>
            </w:r>
            <w:r w:rsidR="00AF7C6A">
              <w:rPr>
                <w:rFonts w:ascii="Arial" w:hAnsi="Arial" w:cs="Arial"/>
                <w:b w:val="0"/>
                <w:color w:val="FF0000"/>
                <w:sz w:val="24"/>
                <w:szCs w:val="24"/>
              </w:rPr>
              <w:t xml:space="preserve"> (GAD)</w:t>
            </w:r>
            <w:r>
              <w:rPr>
                <w:rFonts w:ascii="Arial" w:hAnsi="Arial" w:cs="Arial"/>
                <w:b w:val="0"/>
                <w:color w:val="FF0000"/>
                <w:sz w:val="24"/>
                <w:szCs w:val="24"/>
              </w:rPr>
              <w:t xml:space="preserve"> re-issued guidance on 31/5/2017 which corrected the above. </w:t>
            </w:r>
          </w:p>
        </w:tc>
      </w:tr>
    </w:tbl>
    <w:p w:rsidR="004E0588" w:rsidRDefault="004E0588"/>
    <w:tbl>
      <w:tblPr>
        <w:tblStyle w:val="GridTable4-Accent3"/>
        <w:tblW w:w="0" w:type="auto"/>
        <w:tblLook w:val="04A0" w:firstRow="1" w:lastRow="0" w:firstColumn="1" w:lastColumn="0" w:noHBand="0" w:noVBand="1"/>
      </w:tblPr>
      <w:tblGrid>
        <w:gridCol w:w="1555"/>
        <w:gridCol w:w="8930"/>
        <w:gridCol w:w="3463"/>
      </w:tblGrid>
      <w:tr w:rsidR="00B01799" w:rsidRPr="00CB40A9" w:rsidTr="0054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2"/>
            <w:vAlign w:val="center"/>
          </w:tcPr>
          <w:p w:rsidR="00B01799" w:rsidRPr="00CB40A9" w:rsidRDefault="00B01799" w:rsidP="005432DC">
            <w:pPr>
              <w:jc w:val="center"/>
              <w:rPr>
                <w:rFonts w:ascii="Arial" w:hAnsi="Arial" w:cs="Arial"/>
                <w:sz w:val="36"/>
                <w:szCs w:val="36"/>
              </w:rPr>
            </w:pPr>
            <w:r w:rsidRPr="00CB40A9">
              <w:rPr>
                <w:rFonts w:ascii="Arial" w:hAnsi="Arial" w:cs="Arial"/>
                <w:sz w:val="36"/>
                <w:szCs w:val="36"/>
              </w:rPr>
              <w:t>Guidance</w:t>
            </w:r>
          </w:p>
        </w:tc>
        <w:tc>
          <w:tcPr>
            <w:tcW w:w="3463" w:type="dxa"/>
            <w:vAlign w:val="center"/>
          </w:tcPr>
          <w:p w:rsidR="00B01799" w:rsidRPr="00CB40A9" w:rsidRDefault="005432DC" w:rsidP="005432D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B01799" w:rsidTr="005432D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002060"/>
            <w:vAlign w:val="center"/>
          </w:tcPr>
          <w:p w:rsidR="00B01799" w:rsidRPr="00B01799" w:rsidRDefault="00B01799" w:rsidP="005432DC">
            <w:pPr>
              <w:jc w:val="center"/>
              <w:rPr>
                <w:rFonts w:ascii="Arial" w:hAnsi="Arial" w:cs="Arial"/>
                <w:bCs w:val="0"/>
                <w:color w:val="FFFFFF" w:themeColor="background1"/>
                <w:sz w:val="28"/>
                <w:szCs w:val="28"/>
              </w:rPr>
            </w:pPr>
            <w:r w:rsidRPr="00B01799">
              <w:rPr>
                <w:rFonts w:ascii="Arial" w:hAnsi="Arial" w:cs="Arial"/>
                <w:color w:val="FFFFFF" w:themeColor="background1"/>
                <w:sz w:val="28"/>
                <w:szCs w:val="28"/>
              </w:rPr>
              <w:t>Pension Debits</w:t>
            </w:r>
          </w:p>
        </w:tc>
        <w:tc>
          <w:tcPr>
            <w:tcW w:w="3463" w:type="dxa"/>
            <w:shd w:val="clear" w:color="auto" w:fill="002060"/>
            <w:vAlign w:val="center"/>
          </w:tcPr>
          <w:p w:rsidR="00B01799" w:rsidRPr="00B01799" w:rsidRDefault="00B01799" w:rsidP="005432DC">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B01799">
              <w:rPr>
                <w:rFonts w:ascii="Arial" w:hAnsi="Arial" w:cs="Arial"/>
                <w:b/>
                <w:color w:val="FFFFFF" w:themeColor="background1"/>
                <w:sz w:val="28"/>
                <w:szCs w:val="28"/>
              </w:rPr>
              <w:t>29/04/2016</w:t>
            </w:r>
          </w:p>
        </w:tc>
      </w:tr>
      <w:tr w:rsidR="00654474" w:rsidTr="0065447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654474" w:rsidRPr="00654474" w:rsidRDefault="00654474" w:rsidP="005C18F5">
            <w:pPr>
              <w:rPr>
                <w:rFonts w:ascii="Arial" w:hAnsi="Arial" w:cs="Arial"/>
                <w:bCs w:val="0"/>
                <w:color w:val="000000"/>
                <w:sz w:val="24"/>
                <w:szCs w:val="24"/>
              </w:rPr>
            </w:pPr>
            <w:r w:rsidRPr="00654474">
              <w:rPr>
                <w:rFonts w:ascii="Arial" w:hAnsi="Arial" w:cs="Arial"/>
                <w:color w:val="000000"/>
                <w:sz w:val="24"/>
                <w:szCs w:val="24"/>
              </w:rPr>
              <w:t>Query 19:</w:t>
            </w:r>
            <w:bookmarkStart w:id="15" w:name="nineteen"/>
            <w:bookmarkEnd w:id="15"/>
          </w:p>
        </w:tc>
        <w:tc>
          <w:tcPr>
            <w:tcW w:w="12393" w:type="dxa"/>
            <w:gridSpan w:val="2"/>
            <w:shd w:val="clear" w:color="auto" w:fill="auto"/>
          </w:tcPr>
          <w:p w:rsidR="00654474" w:rsidRPr="00654474" w:rsidRDefault="00654474" w:rsidP="005C18F5">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Pr>
                <w:rFonts w:ascii="Arial" w:hAnsi="Arial" w:cs="Arial"/>
                <w:b/>
                <w:color w:val="000000"/>
                <w:sz w:val="24"/>
                <w:szCs w:val="24"/>
              </w:rPr>
              <w:t>Pension debits of 100% leave deferred members with a residual amount of PI payable</w:t>
            </w:r>
          </w:p>
        </w:tc>
      </w:tr>
      <w:tr w:rsidR="005C18F5" w:rsidTr="005C18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654474" w:rsidRPr="00654474" w:rsidRDefault="00654474" w:rsidP="00654474">
            <w:pPr>
              <w:rPr>
                <w:rFonts w:ascii="Arial" w:hAnsi="Arial" w:cs="Arial"/>
                <w:b w:val="0"/>
                <w:sz w:val="24"/>
                <w:szCs w:val="24"/>
              </w:rPr>
            </w:pPr>
            <w:r w:rsidRPr="00654474">
              <w:rPr>
                <w:rFonts w:ascii="Arial" w:hAnsi="Arial" w:cs="Arial"/>
                <w:b w:val="0"/>
                <w:sz w:val="24"/>
                <w:szCs w:val="24"/>
              </w:rPr>
              <w:t>Query relates to when a pension debit is applied to a deferred member with a 100% sharing ord</w:t>
            </w:r>
            <w:r>
              <w:rPr>
                <w:rFonts w:ascii="Arial" w:hAnsi="Arial" w:cs="Arial"/>
                <w:b w:val="0"/>
                <w:sz w:val="24"/>
                <w:szCs w:val="24"/>
              </w:rPr>
              <w:t xml:space="preserve">er. </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Paragraph 4.4 confirms that the pension debit is increased with effect from the Transfer day: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lang w:eastAsia="en-GB"/>
              </w:rPr>
            </w:pPr>
            <w:r w:rsidRPr="00654474">
              <w:rPr>
                <w:rFonts w:ascii="Arial" w:hAnsi="Arial" w:cs="Arial"/>
                <w:b w:val="0"/>
                <w:i/>
                <w:iCs/>
                <w:sz w:val="24"/>
                <w:szCs w:val="24"/>
              </w:rPr>
              <w:lastRenderedPageBreak/>
              <w:t xml:space="preserve">4.4 </w:t>
            </w:r>
            <w:r w:rsidRPr="00654474">
              <w:rPr>
                <w:rFonts w:ascii="Arial" w:hAnsi="Arial" w:cs="Arial"/>
                <w:b w:val="0"/>
                <w:i/>
                <w:iCs/>
                <w:sz w:val="24"/>
                <w:szCs w:val="24"/>
                <w:lang w:eastAsia="en-GB"/>
              </w:rPr>
              <w:t xml:space="preserve">Both active and deferred members’ debits should be increased from the Transfer day until benefits come into payment as if they were deferred pensions.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However, where a sharing order directs that 100% of a deferred pension is to be awarded to the ex-spouse this leaves a residual amount of PI payable to the deferred member because the deferred benefit is increased for the full year whereas the debit is increased from the transfer day (unless by chance the transfer day and the pensions increase day happen to be the same).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sidRPr="00654474">
              <w:rPr>
                <w:rFonts w:ascii="Arial" w:hAnsi="Arial" w:cs="Arial"/>
                <w:b w:val="0"/>
                <w:sz w:val="24"/>
                <w:szCs w:val="24"/>
              </w:rPr>
              <w:t xml:space="preserve">This leaves a situation where although 100% of the member’s benefits have been debited there is still a small amount of PI payable – is this correct? If one takes the view that there is no PI actually payable under section 8 of the PI Act 197 as there are no benefits payable to the member on which to apply pensions increase then it would seem not. </w:t>
            </w:r>
          </w:p>
          <w:p w:rsidR="00654474" w:rsidRPr="00654474" w:rsidRDefault="00654474" w:rsidP="00654474">
            <w:pPr>
              <w:rPr>
                <w:rFonts w:ascii="Arial" w:hAnsi="Arial" w:cs="Arial"/>
                <w:b w:val="0"/>
                <w:sz w:val="24"/>
                <w:szCs w:val="24"/>
              </w:rPr>
            </w:pPr>
          </w:p>
          <w:p w:rsidR="00654474" w:rsidRPr="00654474" w:rsidRDefault="00654474" w:rsidP="00654474">
            <w:pPr>
              <w:rPr>
                <w:rFonts w:ascii="Arial" w:hAnsi="Arial" w:cs="Arial"/>
                <w:b w:val="0"/>
                <w:i/>
                <w:iCs/>
                <w:sz w:val="24"/>
                <w:szCs w:val="24"/>
              </w:rPr>
            </w:pPr>
            <w:r w:rsidRPr="00654474">
              <w:rPr>
                <w:rFonts w:ascii="Arial" w:hAnsi="Arial" w:cs="Arial"/>
                <w:b w:val="0"/>
                <w:i/>
                <w:iCs/>
                <w:sz w:val="24"/>
                <w:szCs w:val="24"/>
              </w:rPr>
              <w:t>8(1)For purposes of this Act "pension" includes (subject to section 9 below)-</w:t>
            </w:r>
          </w:p>
          <w:p w:rsidR="00654474" w:rsidRDefault="00654474" w:rsidP="00654474">
            <w:pPr>
              <w:rPr>
                <w:rFonts w:ascii="Arial" w:hAnsi="Arial" w:cs="Arial"/>
                <w:b w:val="0"/>
                <w:sz w:val="24"/>
                <w:szCs w:val="24"/>
              </w:rPr>
            </w:pPr>
            <w:r w:rsidRPr="00654474">
              <w:rPr>
                <w:rFonts w:ascii="Arial" w:hAnsi="Arial" w:cs="Arial"/>
                <w:b w:val="0"/>
                <w:i/>
                <w:iCs/>
                <w:sz w:val="24"/>
                <w:szCs w:val="24"/>
              </w:rPr>
              <w:t>(a)any allowance or other benefit payable (either in respect of the services of the pensioner or in respect of the services of any other person)  by virtue of any superannuation scheme, whether contained in an enactment or otherwise, including a superannuation scheme providing benefits in the case of injury or death</w:t>
            </w:r>
            <w:r w:rsidRPr="00654474">
              <w:rPr>
                <w:rFonts w:ascii="Arial" w:hAnsi="Arial" w:cs="Arial"/>
                <w:b w:val="0"/>
                <w:sz w:val="24"/>
                <w:szCs w:val="24"/>
              </w:rPr>
              <w:t>;</w:t>
            </w:r>
          </w:p>
          <w:p w:rsidR="00654474" w:rsidRDefault="00654474" w:rsidP="00654474">
            <w:pPr>
              <w:rPr>
                <w:rFonts w:ascii="Arial" w:hAnsi="Arial" w:cs="Arial"/>
                <w:b w:val="0"/>
                <w:sz w:val="24"/>
                <w:szCs w:val="24"/>
              </w:rPr>
            </w:pPr>
          </w:p>
          <w:p w:rsidR="00654474" w:rsidRPr="00654474" w:rsidRDefault="00654474" w:rsidP="00654474">
            <w:pPr>
              <w:rPr>
                <w:rFonts w:ascii="Arial" w:hAnsi="Arial" w:cs="Arial"/>
                <w:b w:val="0"/>
                <w:sz w:val="24"/>
                <w:szCs w:val="24"/>
              </w:rPr>
            </w:pPr>
            <w:r>
              <w:rPr>
                <w:rFonts w:ascii="Arial" w:hAnsi="Arial" w:cs="Arial"/>
                <w:b w:val="0"/>
                <w:sz w:val="24"/>
                <w:szCs w:val="24"/>
              </w:rPr>
              <w:t>Query first raised on 18/10/2016</w:t>
            </w:r>
          </w:p>
          <w:p w:rsidR="005C18F5" w:rsidRPr="00654474" w:rsidRDefault="005C18F5" w:rsidP="005C18F5">
            <w:pPr>
              <w:rPr>
                <w:rFonts w:ascii="Arial" w:hAnsi="Arial" w:cs="Arial"/>
                <w:b w:val="0"/>
                <w:color w:val="000000"/>
                <w:sz w:val="24"/>
                <w:szCs w:val="24"/>
              </w:rPr>
            </w:pPr>
          </w:p>
        </w:tc>
      </w:tr>
      <w:tr w:rsidR="005C18F5" w:rsidTr="0065447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5C18F5" w:rsidRPr="005C18F5" w:rsidRDefault="00654474" w:rsidP="005C18F5">
            <w:pPr>
              <w:rPr>
                <w:rFonts w:ascii="Arial" w:hAnsi="Arial" w:cs="Arial"/>
                <w:b w:val="0"/>
                <w:color w:val="000000"/>
                <w:sz w:val="24"/>
                <w:szCs w:val="24"/>
              </w:rPr>
            </w:pPr>
            <w:r w:rsidRPr="00654474">
              <w:rPr>
                <w:rFonts w:ascii="Arial" w:hAnsi="Arial" w:cs="Arial"/>
                <w:b w:val="0"/>
                <w:color w:val="FF0000"/>
                <w:sz w:val="24"/>
                <w:szCs w:val="24"/>
              </w:rPr>
              <w:lastRenderedPageBreak/>
              <w:t xml:space="preserve">Update from meeting held on 23/05/2017 – LGA to suggest pragmatic solution and advise GAD by July if guidance need updating. </w:t>
            </w:r>
          </w:p>
        </w:tc>
      </w:tr>
      <w:tr w:rsidR="00997DFF" w:rsidTr="0065447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auto"/>
          </w:tcPr>
          <w:p w:rsidR="00997DFF" w:rsidRDefault="00997DFF" w:rsidP="00997DFF">
            <w:pPr>
              <w:rPr>
                <w:rFonts w:ascii="Arial" w:hAnsi="Arial" w:cs="Arial"/>
                <w:b w:val="0"/>
                <w:bCs w:val="0"/>
                <w:color w:val="7030A0"/>
              </w:rPr>
            </w:pPr>
            <w:r>
              <w:rPr>
                <w:rFonts w:ascii="Arial" w:hAnsi="Arial" w:cs="Arial"/>
                <w:b w:val="0"/>
                <w:bCs w:val="0"/>
                <w:color w:val="7030A0"/>
              </w:rPr>
              <w:t>Update: On 07/06/2017 LGA forwarded the below to DCLG and GAD:</w:t>
            </w:r>
          </w:p>
          <w:p w:rsidR="00997DFF" w:rsidRDefault="00997DFF" w:rsidP="00997DFF">
            <w:pPr>
              <w:rPr>
                <w:rFonts w:ascii="Arial" w:hAnsi="Arial" w:cs="Arial"/>
                <w:b w:val="0"/>
                <w:bCs w:val="0"/>
                <w:color w:val="7030A0"/>
              </w:rPr>
            </w:pPr>
          </w:p>
          <w:p w:rsidR="00997DFF" w:rsidRPr="00654474" w:rsidRDefault="00997DFF" w:rsidP="00997DFF">
            <w:pPr>
              <w:rPr>
                <w:rFonts w:ascii="Arial" w:hAnsi="Arial" w:cs="Arial"/>
                <w:color w:val="FF0000"/>
                <w:sz w:val="24"/>
                <w:szCs w:val="24"/>
              </w:rPr>
            </w:pPr>
            <w:r>
              <w:rPr>
                <w:rFonts w:ascii="Arial" w:hAnsi="Arial" w:cs="Arial"/>
                <w:b w:val="0"/>
                <w:bCs w:val="0"/>
                <w:color w:val="7030A0"/>
              </w:rPr>
              <w:t xml:space="preserve">In LGA’s view, the residual amount of PI would be payable to the debited member, albeit that the fund may, where appropriate, choose to pay the amount due as a trivial commutation or de </w:t>
            </w:r>
            <w:proofErr w:type="spellStart"/>
            <w:r>
              <w:rPr>
                <w:rFonts w:ascii="Arial" w:hAnsi="Arial" w:cs="Arial"/>
                <w:b w:val="0"/>
                <w:bCs w:val="0"/>
                <w:color w:val="7030A0"/>
              </w:rPr>
              <w:t>minimis</w:t>
            </w:r>
            <w:proofErr w:type="spellEnd"/>
            <w:r>
              <w:rPr>
                <w:rFonts w:ascii="Arial" w:hAnsi="Arial" w:cs="Arial"/>
                <w:b w:val="0"/>
                <w:bCs w:val="0"/>
                <w:color w:val="7030A0"/>
              </w:rPr>
              <w:t xml:space="preserve"> payment.   Will the guidance be amended to reflect this position if DCLG and GAD are both in agreement? </w:t>
            </w:r>
          </w:p>
        </w:tc>
      </w:tr>
    </w:tbl>
    <w:p w:rsidR="00654474" w:rsidRDefault="00654474"/>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654474"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002060"/>
            <w:vAlign w:val="center"/>
          </w:tcPr>
          <w:p w:rsidR="00654474" w:rsidRPr="00F65AB7" w:rsidRDefault="00654474" w:rsidP="00F65AB7">
            <w:pPr>
              <w:jc w:val="center"/>
              <w:rPr>
                <w:rFonts w:ascii="Arial" w:hAnsi="Arial" w:cs="Arial"/>
                <w:bCs w:val="0"/>
                <w:color w:val="000000"/>
                <w:sz w:val="24"/>
                <w:szCs w:val="24"/>
              </w:rPr>
            </w:pPr>
            <w:r w:rsidRPr="00F65AB7">
              <w:rPr>
                <w:rFonts w:ascii="Arial" w:eastAsia="Times New Roman" w:hAnsi="Arial" w:cs="Arial"/>
                <w:sz w:val="30"/>
                <w:szCs w:val="30"/>
                <w:lang w:eastAsia="en-GB"/>
              </w:rPr>
              <w:t>Limit on total amount of benefits – Lifetime allowance</w:t>
            </w:r>
          </w:p>
        </w:tc>
        <w:tc>
          <w:tcPr>
            <w:tcW w:w="3321" w:type="dxa"/>
            <w:shd w:val="clear" w:color="auto" w:fill="002060"/>
            <w:vAlign w:val="center"/>
          </w:tcPr>
          <w:p w:rsidR="00654474" w:rsidRPr="00F65AB7" w:rsidRDefault="00654474"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8"/>
              </w:rPr>
            </w:pPr>
            <w:r w:rsidRPr="00F65AB7">
              <w:rPr>
                <w:rFonts w:ascii="Arial" w:hAnsi="Arial" w:cs="Arial"/>
                <w:b/>
                <w:sz w:val="28"/>
                <w:szCs w:val="28"/>
              </w:rPr>
              <w:t>14/04/2016</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8C6C14" w:rsidRPr="008C6C14" w:rsidRDefault="008C6C14" w:rsidP="00654474">
            <w:pPr>
              <w:rPr>
                <w:rFonts w:ascii="Arial" w:hAnsi="Arial" w:cs="Arial"/>
                <w:bCs w:val="0"/>
                <w:color w:val="FFFFFF" w:themeColor="background1"/>
                <w:sz w:val="24"/>
                <w:szCs w:val="24"/>
              </w:rPr>
            </w:pPr>
            <w:r w:rsidRPr="008C6C14">
              <w:rPr>
                <w:rFonts w:ascii="Arial" w:hAnsi="Arial" w:cs="Arial"/>
                <w:sz w:val="24"/>
                <w:szCs w:val="24"/>
              </w:rPr>
              <w:t xml:space="preserve">Query 20: </w:t>
            </w:r>
            <w:bookmarkStart w:id="16" w:name="twenty"/>
            <w:bookmarkEnd w:id="16"/>
          </w:p>
        </w:tc>
        <w:tc>
          <w:tcPr>
            <w:tcW w:w="12393" w:type="dxa"/>
            <w:gridSpan w:val="2"/>
            <w:shd w:val="clear" w:color="auto" w:fill="auto"/>
          </w:tcPr>
          <w:p w:rsidR="008C6C14" w:rsidRPr="008C6C14" w:rsidRDefault="008C6C14" w:rsidP="0065447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C6C14">
              <w:rPr>
                <w:rFonts w:ascii="Arial" w:hAnsi="Arial" w:cs="Arial"/>
                <w:b/>
                <w:sz w:val="24"/>
                <w:szCs w:val="24"/>
              </w:rPr>
              <w:t xml:space="preserve">How should a lifetime allowance </w:t>
            </w:r>
            <w:r>
              <w:rPr>
                <w:rFonts w:ascii="Arial" w:hAnsi="Arial" w:cs="Arial"/>
                <w:b/>
                <w:sz w:val="24"/>
                <w:szCs w:val="24"/>
              </w:rPr>
              <w:t xml:space="preserve">scheme pays </w:t>
            </w:r>
            <w:r w:rsidRPr="008C6C14">
              <w:rPr>
                <w:rFonts w:ascii="Arial" w:hAnsi="Arial" w:cs="Arial"/>
                <w:b/>
                <w:sz w:val="24"/>
                <w:szCs w:val="24"/>
              </w:rPr>
              <w:t>deduction be apportioned across the different tranches of membership?</w:t>
            </w:r>
          </w:p>
        </w:tc>
      </w:tr>
      <w:tr w:rsidR="008C6C14"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8C6C14" w:rsidRPr="008C6C14" w:rsidRDefault="008C6C14" w:rsidP="008C6C14">
            <w:pPr>
              <w:rPr>
                <w:rFonts w:ascii="Arial" w:hAnsi="Arial" w:cs="Arial"/>
                <w:b w:val="0"/>
                <w:sz w:val="24"/>
                <w:szCs w:val="24"/>
              </w:rPr>
            </w:pPr>
            <w:r>
              <w:rPr>
                <w:rFonts w:ascii="Arial" w:hAnsi="Arial" w:cs="Arial"/>
                <w:b w:val="0"/>
                <w:sz w:val="24"/>
                <w:szCs w:val="24"/>
              </w:rPr>
              <w:t xml:space="preserve">The guidance is silent on how a LTA scheme pays deduction should be applied to a member’s benefits. </w:t>
            </w:r>
            <w:r w:rsidRPr="008C6C14">
              <w:rPr>
                <w:rFonts w:ascii="Arial" w:hAnsi="Arial" w:cs="Arial"/>
                <w:b w:val="0"/>
                <w:sz w:val="24"/>
                <w:szCs w:val="24"/>
              </w:rPr>
              <w:t xml:space="preserve"> </w:t>
            </w:r>
          </w:p>
          <w:p w:rsidR="008C6C14" w:rsidRPr="008C6C14" w:rsidRDefault="008C6C14" w:rsidP="008C6C14">
            <w:pPr>
              <w:rPr>
                <w:rFonts w:ascii="Arial" w:hAnsi="Arial" w:cs="Arial"/>
                <w:b w:val="0"/>
                <w:sz w:val="24"/>
                <w:szCs w:val="24"/>
              </w:rPr>
            </w:pPr>
          </w:p>
          <w:p w:rsidR="008C6C14" w:rsidRPr="008C6C14" w:rsidRDefault="008C6C14" w:rsidP="008C6C14">
            <w:pPr>
              <w:autoSpaceDE w:val="0"/>
              <w:autoSpaceDN w:val="0"/>
              <w:rPr>
                <w:rFonts w:ascii="Arial" w:hAnsi="Arial" w:cs="Arial"/>
                <w:b w:val="0"/>
                <w:color w:val="000000"/>
                <w:sz w:val="24"/>
                <w:szCs w:val="24"/>
                <w:lang w:eastAsia="en-GB"/>
              </w:rPr>
            </w:pPr>
            <w:r w:rsidRPr="008C6C14">
              <w:rPr>
                <w:rFonts w:ascii="Arial" w:hAnsi="Arial" w:cs="Arial"/>
                <w:b w:val="0"/>
                <w:color w:val="000000"/>
                <w:sz w:val="24"/>
                <w:szCs w:val="24"/>
                <w:lang w:eastAsia="en-GB"/>
              </w:rPr>
              <w:t>This is different to  the annual allowance guidance for scheme pays which specifically states in paragraphs: -</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t>1.3       In accordance with regulation 16 of the LGPS (Transitional Provisions, Savings and Amendment) Regulations 2014 a pension offset determined on or after 1 April 2014 can apply to benefits earned prior to 1 April 2014.</w:t>
            </w:r>
          </w:p>
          <w:p w:rsidR="008C6C14" w:rsidRPr="008C6C14" w:rsidRDefault="008C6C14" w:rsidP="008C6C14">
            <w:pPr>
              <w:ind w:left="720" w:hanging="720"/>
              <w:rPr>
                <w:rFonts w:ascii="Arial" w:hAnsi="Arial" w:cs="Arial"/>
                <w:b w:val="0"/>
                <w:sz w:val="24"/>
                <w:szCs w:val="24"/>
              </w:rPr>
            </w:pPr>
            <w:r w:rsidRPr="008C6C14">
              <w:rPr>
                <w:rFonts w:ascii="Arial" w:hAnsi="Arial" w:cs="Arial"/>
                <w:b w:val="0"/>
                <w:sz w:val="24"/>
                <w:szCs w:val="24"/>
              </w:rPr>
              <w:lastRenderedPageBreak/>
              <w:t>2.4       The scheme pays offset will be initially based on the pension relating to the Post 1 April 2014 service (i.e. on the current tranche of benefits). Where at retirement, the post 2014 pension is insufficient to cover the pension offset then the balance of the offset should be initially applied to the pension earned between 1 April 2008 and 31 March 2014, with suitable adjustment for early or late payment by reference to the post-2014 NPA. If the offset cannot be met by the post-2008 benefits then the case should be referred to DCLG.   </w:t>
            </w:r>
          </w:p>
          <w:p w:rsidR="008C6C14" w:rsidRPr="008C6C14" w:rsidRDefault="008C6C14" w:rsidP="008C6C14">
            <w:pPr>
              <w:rPr>
                <w:rFonts w:ascii="Arial" w:hAnsi="Arial" w:cs="Arial"/>
                <w:b w:val="0"/>
                <w:sz w:val="24"/>
                <w:szCs w:val="24"/>
              </w:rPr>
            </w:pPr>
          </w:p>
          <w:p w:rsidR="008C6C14" w:rsidRPr="008C6C14" w:rsidRDefault="008C6C14" w:rsidP="008C6C14">
            <w:pPr>
              <w:rPr>
                <w:rFonts w:ascii="Arial" w:hAnsi="Arial" w:cs="Arial"/>
                <w:b w:val="0"/>
                <w:sz w:val="24"/>
                <w:szCs w:val="24"/>
              </w:rPr>
            </w:pPr>
            <w:r>
              <w:rPr>
                <w:rFonts w:ascii="Arial" w:hAnsi="Arial" w:cs="Arial"/>
                <w:b w:val="0"/>
                <w:sz w:val="24"/>
                <w:szCs w:val="24"/>
              </w:rPr>
              <w:t>We are not sure if the LTA</w:t>
            </w:r>
            <w:r w:rsidRPr="008C6C14">
              <w:rPr>
                <w:rFonts w:ascii="Arial" w:hAnsi="Arial" w:cs="Arial"/>
                <w:b w:val="0"/>
                <w:sz w:val="24"/>
                <w:szCs w:val="24"/>
              </w:rPr>
              <w:t xml:space="preserve"> debit should be apportioned in the same way as instructed for the Annual Allowance Scheme Pays Debit for several reasons:</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LTA debit represents the tax charge that has arose as a result of the member’s lifetime pension saving within the LGPS in that employment(s) thus at least in the short-term, that value can most likely be attributed to the final salary element of the pension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 xml:space="preserve">The AA Scheme Pays debit represents that tax charge that has over a single PIP </w:t>
            </w:r>
          </w:p>
          <w:p w:rsidR="008C6C14" w:rsidRPr="008C6C14" w:rsidRDefault="008C6C14" w:rsidP="008C6C14">
            <w:pPr>
              <w:pStyle w:val="ListParagraph"/>
              <w:numPr>
                <w:ilvl w:val="0"/>
                <w:numId w:val="3"/>
              </w:numPr>
              <w:contextualSpacing w:val="0"/>
              <w:rPr>
                <w:rFonts w:ascii="Arial" w:hAnsi="Arial" w:cs="Arial"/>
                <w:b w:val="0"/>
                <w:sz w:val="24"/>
                <w:szCs w:val="24"/>
              </w:rPr>
            </w:pPr>
            <w:r w:rsidRPr="008C6C14">
              <w:rPr>
                <w:rFonts w:ascii="Arial" w:hAnsi="Arial" w:cs="Arial"/>
                <w:b w:val="0"/>
                <w:sz w:val="24"/>
                <w:szCs w:val="24"/>
              </w:rPr>
              <w:t>How the LTA debit is proportioned will affect how it is revalued going forward (i.e. if deducted from FS in the first year of leaving it would receive a pro-rata PI the following April – if deducted from CARE it will receive part year TO 1 second after midnight on 1 April and pro rata PI thereafter).</w:t>
            </w:r>
          </w:p>
          <w:p w:rsidR="008C6C14" w:rsidRPr="008C6C14" w:rsidRDefault="008C6C14" w:rsidP="008C6C14">
            <w:pPr>
              <w:rPr>
                <w:rFonts w:ascii="Arial" w:hAnsi="Arial" w:cs="Arial"/>
                <w:b w:val="0"/>
                <w:sz w:val="24"/>
                <w:szCs w:val="24"/>
              </w:rPr>
            </w:pPr>
          </w:p>
          <w:p w:rsidR="00C73A2A" w:rsidRDefault="008C6C14" w:rsidP="008C6C14">
            <w:pPr>
              <w:rPr>
                <w:rFonts w:ascii="Arial" w:hAnsi="Arial" w:cs="Arial"/>
                <w:b w:val="0"/>
                <w:sz w:val="24"/>
                <w:szCs w:val="24"/>
              </w:rPr>
            </w:pPr>
            <w:r w:rsidRPr="008C6C14">
              <w:rPr>
                <w:rFonts w:ascii="Arial" w:hAnsi="Arial" w:cs="Arial"/>
                <w:b w:val="0"/>
                <w:sz w:val="24"/>
                <w:szCs w:val="24"/>
              </w:rPr>
              <w:t xml:space="preserve">I would, therefore, be grateful if you could advise how the LTA debit is deducted from LGPS benefits (i.e. CARE / FS or a combination of both)? </w:t>
            </w:r>
            <w:r w:rsidR="00C73A2A">
              <w:rPr>
                <w:rFonts w:ascii="Arial" w:hAnsi="Arial" w:cs="Arial"/>
                <w:b w:val="0"/>
                <w:sz w:val="24"/>
                <w:szCs w:val="24"/>
              </w:rPr>
              <w:t xml:space="preserve">See </w:t>
            </w:r>
            <w:hyperlink r:id="rId23" w:history="1">
              <w:r w:rsidR="00C73A2A" w:rsidRPr="00C73A2A">
                <w:rPr>
                  <w:rStyle w:val="Hyperlink"/>
                  <w:rFonts w:ascii="Arial" w:hAnsi="Arial" w:cs="Arial"/>
                  <w:b w:val="0"/>
                  <w:bCs w:val="0"/>
                  <w:sz w:val="24"/>
                  <w:szCs w:val="24"/>
                </w:rPr>
                <w:t>attached document</w:t>
              </w:r>
            </w:hyperlink>
            <w:r w:rsidR="00C73A2A">
              <w:rPr>
                <w:rFonts w:ascii="Arial" w:hAnsi="Arial" w:cs="Arial"/>
                <w:b w:val="0"/>
                <w:sz w:val="24"/>
                <w:szCs w:val="24"/>
              </w:rPr>
              <w:t xml:space="preserve"> for full details. </w:t>
            </w:r>
          </w:p>
          <w:p w:rsidR="008C6C14" w:rsidRDefault="008C6C14" w:rsidP="008C6C14">
            <w:pPr>
              <w:rPr>
                <w:rFonts w:ascii="Arial" w:hAnsi="Arial" w:cs="Arial"/>
                <w:b w:val="0"/>
                <w:sz w:val="24"/>
                <w:szCs w:val="24"/>
              </w:rPr>
            </w:pPr>
          </w:p>
          <w:p w:rsidR="008C6C14" w:rsidRPr="00654474" w:rsidRDefault="008C6C14" w:rsidP="008C6C14">
            <w:pPr>
              <w:rPr>
                <w:rFonts w:ascii="Arial" w:hAnsi="Arial" w:cs="Arial"/>
                <w:color w:val="FFFFFF" w:themeColor="background1"/>
                <w:sz w:val="28"/>
                <w:szCs w:val="28"/>
              </w:rPr>
            </w:pPr>
            <w:r>
              <w:rPr>
                <w:rFonts w:ascii="Arial" w:hAnsi="Arial" w:cs="Arial"/>
                <w:b w:val="0"/>
                <w:sz w:val="24"/>
                <w:szCs w:val="24"/>
              </w:rPr>
              <w:t xml:space="preserve">Query first raised on 19/10/2016. </w:t>
            </w:r>
          </w:p>
        </w:tc>
      </w:tr>
      <w:tr w:rsidR="008C6C14" w:rsidTr="008C6C14">
        <w:trPr>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8C6C14" w:rsidRDefault="008C6C14" w:rsidP="008C6C14">
            <w:r w:rsidRPr="00910503">
              <w:rPr>
                <w:rFonts w:ascii="Arial" w:hAnsi="Arial" w:cs="Arial"/>
                <w:b w:val="0"/>
                <w:color w:val="FF0000"/>
                <w:sz w:val="24"/>
                <w:szCs w:val="24"/>
              </w:rPr>
              <w:lastRenderedPageBreak/>
              <w:t xml:space="preserve">Update from meeting held on 23/05/2017 – LGA to suggest pragmatic solution and advise GAD by July if guidance need updating. </w:t>
            </w:r>
          </w:p>
        </w:tc>
      </w:tr>
      <w:tr w:rsidR="00997DFF" w:rsidTr="00997DF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997DFF" w:rsidRDefault="00997DFF" w:rsidP="00997DFF">
            <w:pPr>
              <w:rPr>
                <w:rFonts w:ascii="Arial" w:hAnsi="Arial" w:cs="Arial"/>
                <w:b w:val="0"/>
                <w:bCs w:val="0"/>
                <w:color w:val="7030A0"/>
              </w:rPr>
            </w:pPr>
            <w:r>
              <w:rPr>
                <w:rFonts w:ascii="Arial" w:hAnsi="Arial" w:cs="Arial"/>
                <w:b w:val="0"/>
                <w:bCs w:val="0"/>
                <w:color w:val="7030A0"/>
              </w:rPr>
              <w:t>Update: On 07/06/2017 LGA forwarded the below to DCLG and GAD:</w:t>
            </w:r>
          </w:p>
          <w:p w:rsidR="00997DFF" w:rsidRPr="00997DFF" w:rsidRDefault="00997DFF" w:rsidP="00997DFF">
            <w:pPr>
              <w:rPr>
                <w:rFonts w:ascii="Arial" w:hAnsi="Arial" w:cs="Arial"/>
                <w:b w:val="0"/>
                <w:bCs w:val="0"/>
                <w:color w:val="7030A0"/>
                <w:sz w:val="16"/>
                <w:szCs w:val="16"/>
              </w:rPr>
            </w:pPr>
          </w:p>
          <w:p w:rsidR="00997DFF" w:rsidRDefault="00997DFF" w:rsidP="00997DFF">
            <w:pPr>
              <w:rPr>
                <w:rFonts w:ascii="Arial" w:hAnsi="Arial" w:cs="Arial"/>
                <w:b w:val="0"/>
                <w:bCs w:val="0"/>
                <w:color w:val="7030A0"/>
              </w:rPr>
            </w:pPr>
            <w:r w:rsidRPr="00E36A63">
              <w:rPr>
                <w:rFonts w:ascii="Arial" w:hAnsi="Arial" w:cs="Arial"/>
                <w:b w:val="0"/>
                <w:bCs w:val="0"/>
                <w:color w:val="7030A0"/>
              </w:rPr>
              <w:t>LGA’s view is that the LTA debit should be split proportionately across the different tranches of benefits payable to the member.  For example:</w:t>
            </w:r>
          </w:p>
          <w:p w:rsidR="00997DFF" w:rsidRPr="00997DFF" w:rsidRDefault="00997DFF" w:rsidP="00997DFF">
            <w:pPr>
              <w:rPr>
                <w:rFonts w:ascii="Arial" w:hAnsi="Arial" w:cs="Arial"/>
                <w:color w:val="7030A0"/>
                <w:sz w:val="16"/>
                <w:szCs w:val="16"/>
              </w:rPr>
            </w:pPr>
          </w:p>
          <w:p w:rsidR="00997DFF" w:rsidRDefault="00997DFF" w:rsidP="00997DFF">
            <w:pPr>
              <w:rPr>
                <w:rFonts w:ascii="Arial" w:hAnsi="Arial" w:cs="Arial"/>
                <w:b w:val="0"/>
                <w:bCs w:val="0"/>
                <w:color w:val="7030A0"/>
              </w:rPr>
            </w:pPr>
            <w:r>
              <w:rPr>
                <w:rFonts w:ascii="Arial" w:hAnsi="Arial" w:cs="Arial"/>
                <w:b w:val="0"/>
                <w:bCs w:val="0"/>
                <w:color w:val="7030A0"/>
              </w:rPr>
              <w:t>LTA debit: £1,500</w:t>
            </w:r>
          </w:p>
          <w:p w:rsidR="00997DFF" w:rsidRPr="00997DFF" w:rsidRDefault="00997DFF" w:rsidP="00997DFF">
            <w:pPr>
              <w:rPr>
                <w:rFonts w:ascii="Arial" w:hAnsi="Arial" w:cs="Arial"/>
                <w:b w:val="0"/>
                <w:bCs w:val="0"/>
                <w:color w:val="7030A0"/>
                <w:sz w:val="16"/>
                <w:szCs w:val="16"/>
              </w:rPr>
            </w:pPr>
          </w:p>
          <w:p w:rsidR="00997DFF" w:rsidRDefault="00997DFF" w:rsidP="00997DFF">
            <w:pPr>
              <w:rPr>
                <w:rFonts w:ascii="Arial" w:hAnsi="Arial" w:cs="Arial"/>
                <w:b w:val="0"/>
                <w:bCs w:val="0"/>
                <w:color w:val="7030A0"/>
              </w:rPr>
            </w:pPr>
            <w:r>
              <w:rPr>
                <w:rFonts w:ascii="Arial" w:hAnsi="Arial" w:cs="Arial"/>
                <w:b w:val="0"/>
                <w:bCs w:val="0"/>
                <w:color w:val="7030A0"/>
                <w:u w:val="single"/>
              </w:rPr>
              <w:t>Annual pension prior to debit</w:t>
            </w:r>
            <w:r>
              <w:rPr>
                <w:rFonts w:ascii="Arial" w:hAnsi="Arial" w:cs="Arial"/>
                <w:b w:val="0"/>
                <w:bCs w:val="0"/>
                <w:color w:val="7030A0"/>
              </w:rPr>
              <w:t>:</w:t>
            </w:r>
          </w:p>
          <w:p w:rsidR="00997DFF" w:rsidRDefault="00997DFF" w:rsidP="00997DFF">
            <w:pPr>
              <w:rPr>
                <w:rFonts w:ascii="Arial" w:hAnsi="Arial" w:cs="Arial"/>
                <w:b w:val="0"/>
                <w:bCs w:val="0"/>
                <w:color w:val="7030A0"/>
              </w:rPr>
            </w:pPr>
            <w:r>
              <w:rPr>
                <w:rFonts w:ascii="Arial" w:hAnsi="Arial" w:cs="Arial"/>
                <w:b w:val="0"/>
                <w:bCs w:val="0"/>
                <w:color w:val="7030A0"/>
              </w:rPr>
              <w:t xml:space="preserve">Pre 2008 benefits: £20,000 </w:t>
            </w:r>
          </w:p>
          <w:p w:rsidR="00997DFF" w:rsidRDefault="00997DFF" w:rsidP="00997DFF">
            <w:pPr>
              <w:rPr>
                <w:rFonts w:ascii="Arial" w:hAnsi="Arial" w:cs="Arial"/>
                <w:b w:val="0"/>
                <w:bCs w:val="0"/>
                <w:color w:val="7030A0"/>
              </w:rPr>
            </w:pPr>
            <w:r>
              <w:rPr>
                <w:rFonts w:ascii="Arial" w:hAnsi="Arial" w:cs="Arial"/>
                <w:b w:val="0"/>
                <w:bCs w:val="0"/>
                <w:color w:val="7030A0"/>
              </w:rPr>
              <w:t>2008 to 2014 benefits: £5,000</w:t>
            </w:r>
          </w:p>
          <w:p w:rsidR="00997DFF" w:rsidRDefault="00997DFF" w:rsidP="00997DFF">
            <w:pPr>
              <w:rPr>
                <w:rFonts w:ascii="Arial" w:hAnsi="Arial" w:cs="Arial"/>
                <w:b w:val="0"/>
                <w:bCs w:val="0"/>
                <w:color w:val="7030A0"/>
              </w:rPr>
            </w:pPr>
            <w:r>
              <w:rPr>
                <w:rFonts w:ascii="Arial" w:hAnsi="Arial" w:cs="Arial"/>
                <w:b w:val="0"/>
                <w:bCs w:val="0"/>
                <w:color w:val="7030A0"/>
              </w:rPr>
              <w:t>Post 2014 benefits: £5,000</w:t>
            </w:r>
          </w:p>
          <w:p w:rsidR="00997DFF" w:rsidRDefault="00997DFF" w:rsidP="00997DFF">
            <w:pPr>
              <w:rPr>
                <w:rFonts w:ascii="Arial" w:hAnsi="Arial" w:cs="Arial"/>
                <w:b w:val="0"/>
                <w:bCs w:val="0"/>
                <w:color w:val="7030A0"/>
                <w:u w:val="single"/>
              </w:rPr>
            </w:pPr>
          </w:p>
          <w:p w:rsidR="00997DFF" w:rsidRDefault="00997DFF" w:rsidP="00997DFF">
            <w:pPr>
              <w:rPr>
                <w:rFonts w:ascii="Arial" w:hAnsi="Arial" w:cs="Arial"/>
                <w:b w:val="0"/>
                <w:bCs w:val="0"/>
                <w:color w:val="7030A0"/>
                <w:u w:val="single"/>
              </w:rPr>
            </w:pPr>
            <w:r>
              <w:rPr>
                <w:rFonts w:ascii="Arial" w:hAnsi="Arial" w:cs="Arial"/>
                <w:b w:val="0"/>
                <w:bCs w:val="0"/>
                <w:color w:val="7030A0"/>
                <w:u w:val="single"/>
              </w:rPr>
              <w:t>Annual Pension post debit:</w:t>
            </w:r>
          </w:p>
          <w:p w:rsidR="00997DFF" w:rsidRDefault="00997DFF" w:rsidP="00997DFF">
            <w:pPr>
              <w:rPr>
                <w:rFonts w:ascii="Arial" w:hAnsi="Arial" w:cs="Arial"/>
                <w:b w:val="0"/>
                <w:bCs w:val="0"/>
                <w:color w:val="7030A0"/>
              </w:rPr>
            </w:pPr>
            <w:r>
              <w:rPr>
                <w:rFonts w:ascii="Arial" w:hAnsi="Arial" w:cs="Arial"/>
                <w:b w:val="0"/>
                <w:bCs w:val="0"/>
                <w:color w:val="7030A0"/>
              </w:rPr>
              <w:t>Pre 2008 benefits: £20,000 less £1,000 = £19,000</w:t>
            </w:r>
          </w:p>
          <w:p w:rsidR="00997DFF" w:rsidRDefault="00997DFF" w:rsidP="00997DFF">
            <w:pPr>
              <w:rPr>
                <w:rFonts w:ascii="Arial" w:hAnsi="Arial" w:cs="Arial"/>
                <w:b w:val="0"/>
                <w:bCs w:val="0"/>
                <w:color w:val="7030A0"/>
              </w:rPr>
            </w:pPr>
            <w:r>
              <w:rPr>
                <w:rFonts w:ascii="Arial" w:hAnsi="Arial" w:cs="Arial"/>
                <w:b w:val="0"/>
                <w:bCs w:val="0"/>
                <w:color w:val="7030A0"/>
              </w:rPr>
              <w:t>2008 to 2014 benefits: £5,000 less £250 = £4,750</w:t>
            </w:r>
          </w:p>
          <w:p w:rsidR="00997DFF" w:rsidRDefault="00997DFF" w:rsidP="00997DFF">
            <w:pPr>
              <w:rPr>
                <w:rFonts w:ascii="Arial" w:hAnsi="Arial" w:cs="Arial"/>
                <w:b w:val="0"/>
                <w:bCs w:val="0"/>
                <w:color w:val="7030A0"/>
              </w:rPr>
            </w:pPr>
            <w:r>
              <w:rPr>
                <w:rFonts w:ascii="Arial" w:hAnsi="Arial" w:cs="Arial"/>
                <w:b w:val="0"/>
                <w:bCs w:val="0"/>
                <w:color w:val="7030A0"/>
              </w:rPr>
              <w:t>Post 2014 benefits: £5,000 less £250 = £4,750</w:t>
            </w:r>
          </w:p>
          <w:p w:rsidR="00997DFF" w:rsidRDefault="00997DFF" w:rsidP="00997DFF">
            <w:pPr>
              <w:rPr>
                <w:rFonts w:ascii="Arial" w:hAnsi="Arial" w:cs="Arial"/>
                <w:b w:val="0"/>
                <w:bCs w:val="0"/>
                <w:color w:val="7030A0"/>
              </w:rPr>
            </w:pPr>
          </w:p>
          <w:p w:rsidR="00997DFF" w:rsidRPr="00E36A63" w:rsidRDefault="00997DFF" w:rsidP="00997DFF">
            <w:pPr>
              <w:rPr>
                <w:rFonts w:ascii="Arial" w:hAnsi="Arial" w:cs="Arial"/>
                <w:b w:val="0"/>
                <w:bCs w:val="0"/>
                <w:color w:val="7030A0"/>
              </w:rPr>
            </w:pPr>
            <w:r>
              <w:rPr>
                <w:rFonts w:ascii="Arial" w:hAnsi="Arial" w:cs="Arial"/>
                <w:b w:val="0"/>
                <w:bCs w:val="0"/>
                <w:color w:val="7030A0"/>
              </w:rPr>
              <w:t>If DCLG and GAD are both in agreement with this approach will the guidance be amended accordingly?</w:t>
            </w:r>
          </w:p>
        </w:tc>
      </w:tr>
      <w:tr w:rsidR="000F7854" w:rsidRPr="000F7854" w:rsidTr="000F7854">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rsidR="000F7854" w:rsidRPr="008C6C14" w:rsidRDefault="000F7854" w:rsidP="000F7854">
            <w:pPr>
              <w:rPr>
                <w:rFonts w:ascii="Arial" w:hAnsi="Arial" w:cs="Arial"/>
                <w:bCs w:val="0"/>
                <w:color w:val="FFFFFF" w:themeColor="background1"/>
                <w:sz w:val="24"/>
                <w:szCs w:val="24"/>
              </w:rPr>
            </w:pPr>
            <w:bookmarkStart w:id="17" w:name="thirty"/>
            <w:bookmarkEnd w:id="17"/>
            <w:r>
              <w:rPr>
                <w:rFonts w:ascii="Arial" w:hAnsi="Arial" w:cs="Arial"/>
                <w:sz w:val="24"/>
                <w:szCs w:val="24"/>
              </w:rPr>
              <w:lastRenderedPageBreak/>
              <w:t>Query 30</w:t>
            </w:r>
            <w:r w:rsidRPr="008C6C14">
              <w:rPr>
                <w:rFonts w:ascii="Arial" w:hAnsi="Arial" w:cs="Arial"/>
                <w:sz w:val="24"/>
                <w:szCs w:val="24"/>
              </w:rPr>
              <w:t xml:space="preserve">: </w:t>
            </w:r>
          </w:p>
        </w:tc>
        <w:tc>
          <w:tcPr>
            <w:tcW w:w="12393" w:type="dxa"/>
            <w:gridSpan w:val="2"/>
            <w:shd w:val="clear" w:color="auto" w:fill="auto"/>
          </w:tcPr>
          <w:p w:rsidR="000F7854" w:rsidRPr="000F7854" w:rsidRDefault="000F7854" w:rsidP="000F785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7854">
              <w:rPr>
                <w:rFonts w:ascii="Arial" w:hAnsi="Arial" w:cs="Arial"/>
                <w:b/>
                <w:sz w:val="24"/>
                <w:szCs w:val="24"/>
              </w:rPr>
              <w:t>Guidance makes no reference to restrictions on commuting GMP/Section 9(2B) rights when taking a LTA excess lump sum</w:t>
            </w:r>
          </w:p>
        </w:tc>
      </w:tr>
      <w:tr w:rsidR="000F7854" w:rsidRPr="000F7854" w:rsidTr="007070E1">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EDEDED"/>
          </w:tcPr>
          <w:p w:rsidR="000F7854" w:rsidRDefault="001172E9" w:rsidP="001172E9">
            <w:pPr>
              <w:rPr>
                <w:rStyle w:val="title-text"/>
                <w:rFonts w:ascii="Arial" w:hAnsi="Arial" w:cs="Arial"/>
                <w:b w:val="0"/>
                <w:sz w:val="24"/>
                <w:szCs w:val="24"/>
              </w:rPr>
            </w:pPr>
            <w:r w:rsidRPr="001172E9">
              <w:rPr>
                <w:rFonts w:ascii="Arial" w:hAnsi="Arial" w:cs="Arial"/>
                <w:b w:val="0"/>
                <w:sz w:val="24"/>
                <w:szCs w:val="24"/>
              </w:rPr>
              <w:t>Paragraphs 2.20 and 2.22 of the guidance says that a member can commute pension above ALTA for a lump sum.  However, whilst that is permissible under the Finance Act 2004 it appears that, as the LGPS was formerly a contracted out scheme, it cannot allow commutation of pre 6/4/1997 GMP or post 5/4/1997 section 9(</w:t>
            </w:r>
            <w:r w:rsidR="00583AD3">
              <w:rPr>
                <w:rFonts w:ascii="Arial" w:hAnsi="Arial" w:cs="Arial"/>
                <w:b w:val="0"/>
                <w:sz w:val="24"/>
                <w:szCs w:val="24"/>
              </w:rPr>
              <w:t>2</w:t>
            </w:r>
            <w:r w:rsidRPr="001172E9">
              <w:rPr>
                <w:rFonts w:ascii="Arial" w:hAnsi="Arial" w:cs="Arial"/>
                <w:b w:val="0"/>
                <w:sz w:val="24"/>
                <w:szCs w:val="24"/>
              </w:rPr>
              <w:t xml:space="preserve">B) rights for a LTA excess lump sum.  This is because regulations 18 and 25 of </w:t>
            </w:r>
            <w:r w:rsidRPr="001172E9">
              <w:rPr>
                <w:rStyle w:val="title-text"/>
                <w:rFonts w:ascii="Arial" w:hAnsi="Arial" w:cs="Arial"/>
                <w:b w:val="0"/>
                <w:sz w:val="24"/>
                <w:szCs w:val="24"/>
              </w:rPr>
              <w:t xml:space="preserve">the Occupational Pension Schemes (Schemes that were Contracted-out) (No 2) Regulations 2015 (SI 2015/1677) do not permit such rights to be commuted.   At a meeting on 28/5/2015, GAD and DCLG agreed to consider the above points, and, if appropriate, make changes to the guidance. </w:t>
            </w:r>
            <w:r>
              <w:rPr>
                <w:rStyle w:val="title-text"/>
                <w:rFonts w:ascii="Arial" w:hAnsi="Arial" w:cs="Arial"/>
                <w:b w:val="0"/>
                <w:sz w:val="24"/>
                <w:szCs w:val="24"/>
              </w:rPr>
              <w:t xml:space="preserve"> </w:t>
            </w:r>
          </w:p>
          <w:p w:rsidR="001172E9" w:rsidRDefault="001172E9" w:rsidP="001172E9">
            <w:pPr>
              <w:rPr>
                <w:rStyle w:val="title-text"/>
                <w:rFonts w:ascii="Arial" w:hAnsi="Arial" w:cs="Arial"/>
                <w:b w:val="0"/>
                <w:sz w:val="24"/>
                <w:szCs w:val="24"/>
              </w:rPr>
            </w:pPr>
          </w:p>
          <w:p w:rsidR="001172E9" w:rsidRDefault="001172E9" w:rsidP="001172E9">
            <w:pPr>
              <w:rPr>
                <w:rStyle w:val="title-text"/>
                <w:rFonts w:ascii="Arial" w:hAnsi="Arial" w:cs="Arial"/>
                <w:b w:val="0"/>
                <w:sz w:val="24"/>
                <w:szCs w:val="24"/>
              </w:rPr>
            </w:pPr>
            <w:r>
              <w:rPr>
                <w:rStyle w:val="title-text"/>
                <w:rFonts w:ascii="Arial" w:hAnsi="Arial" w:cs="Arial"/>
                <w:b w:val="0"/>
                <w:sz w:val="24"/>
                <w:szCs w:val="24"/>
              </w:rPr>
              <w:t xml:space="preserve">In addition, the guidance needs updating to take into account that the Finance Act 2016 has now been enacted and introduced Fixed and Individual Protection 2016. </w:t>
            </w:r>
          </w:p>
          <w:p w:rsidR="0001051A" w:rsidRDefault="0001051A" w:rsidP="001172E9">
            <w:pPr>
              <w:rPr>
                <w:rStyle w:val="title-text"/>
                <w:rFonts w:ascii="Arial" w:hAnsi="Arial" w:cs="Arial"/>
                <w:b w:val="0"/>
                <w:sz w:val="24"/>
                <w:szCs w:val="24"/>
              </w:rPr>
            </w:pPr>
          </w:p>
          <w:p w:rsidR="0001051A" w:rsidRPr="001172E9" w:rsidRDefault="0001051A" w:rsidP="001172E9">
            <w:pPr>
              <w:rPr>
                <w:rFonts w:ascii="Arial" w:hAnsi="Arial" w:cs="Arial"/>
                <w:b w:val="0"/>
                <w:sz w:val="24"/>
                <w:szCs w:val="24"/>
              </w:rPr>
            </w:pPr>
            <w:r>
              <w:rPr>
                <w:rStyle w:val="title-text"/>
                <w:rFonts w:ascii="Arial" w:hAnsi="Arial" w:cs="Arial"/>
                <w:b w:val="0"/>
                <w:sz w:val="24"/>
                <w:szCs w:val="24"/>
              </w:rPr>
              <w:t xml:space="preserve">The first part of this query was originally included in </w:t>
            </w:r>
            <w:hyperlink r:id="rId24" w:history="1">
              <w:r w:rsidRPr="001172E9">
                <w:rPr>
                  <w:rStyle w:val="Hyperlink"/>
                  <w:rFonts w:ascii="Arial" w:hAnsi="Arial" w:cs="Arial"/>
                  <w:b w:val="0"/>
                  <w:bCs w:val="0"/>
                  <w:sz w:val="24"/>
                  <w:szCs w:val="24"/>
                </w:rPr>
                <w:t>bulletin 132</w:t>
              </w:r>
            </w:hyperlink>
            <w:r>
              <w:rPr>
                <w:rStyle w:val="title-text"/>
                <w:rFonts w:ascii="Arial" w:hAnsi="Arial" w:cs="Arial"/>
                <w:b w:val="0"/>
                <w:sz w:val="24"/>
                <w:szCs w:val="24"/>
              </w:rPr>
              <w:t xml:space="preserve"> (page 5) – May 2015. </w:t>
            </w:r>
          </w:p>
        </w:tc>
      </w:tr>
    </w:tbl>
    <w:p w:rsidR="005432DC" w:rsidRDefault="005432DC"/>
    <w:tbl>
      <w:tblPr>
        <w:tblStyle w:val="GridTable4-Accent3"/>
        <w:tblW w:w="0" w:type="auto"/>
        <w:tblLook w:val="04A0" w:firstRow="1" w:lastRow="0" w:firstColumn="1" w:lastColumn="0" w:noHBand="0" w:noVBand="1"/>
      </w:tblPr>
      <w:tblGrid>
        <w:gridCol w:w="1555"/>
        <w:gridCol w:w="9072"/>
        <w:gridCol w:w="3321"/>
      </w:tblGrid>
      <w:tr w:rsidR="00F65AB7" w:rsidRPr="00CB40A9" w:rsidTr="00F65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gridSpan w:val="2"/>
          </w:tcPr>
          <w:p w:rsidR="00F65AB7" w:rsidRPr="00CB40A9" w:rsidRDefault="00F65AB7" w:rsidP="00CB1EB3">
            <w:pPr>
              <w:jc w:val="center"/>
              <w:rPr>
                <w:rFonts w:ascii="Arial" w:hAnsi="Arial" w:cs="Arial"/>
                <w:sz w:val="36"/>
                <w:szCs w:val="36"/>
              </w:rPr>
            </w:pPr>
            <w:r w:rsidRPr="00CB40A9">
              <w:rPr>
                <w:rFonts w:ascii="Arial" w:hAnsi="Arial" w:cs="Arial"/>
                <w:sz w:val="36"/>
                <w:szCs w:val="36"/>
              </w:rPr>
              <w:t>Guidance</w:t>
            </w:r>
          </w:p>
        </w:tc>
        <w:tc>
          <w:tcPr>
            <w:tcW w:w="3321" w:type="dxa"/>
          </w:tcPr>
          <w:p w:rsidR="00F65AB7" w:rsidRPr="00CB40A9" w:rsidRDefault="00F65AB7" w:rsidP="00CB1EB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36"/>
                <w:szCs w:val="36"/>
              </w:rPr>
            </w:pPr>
            <w:r>
              <w:rPr>
                <w:rFonts w:ascii="Arial" w:hAnsi="Arial" w:cs="Arial"/>
                <w:sz w:val="36"/>
                <w:szCs w:val="36"/>
              </w:rPr>
              <w:t>Date</w:t>
            </w:r>
          </w:p>
        </w:tc>
      </w:tr>
      <w:tr w:rsidR="005432DC" w:rsidTr="00F65A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7030A0"/>
            <w:vAlign w:val="center"/>
          </w:tcPr>
          <w:p w:rsidR="005432DC" w:rsidRPr="00F65AB7" w:rsidRDefault="005432DC" w:rsidP="00F65AB7">
            <w:pPr>
              <w:jc w:val="center"/>
              <w:rPr>
                <w:rFonts w:ascii="Arial" w:hAnsi="Arial" w:cs="Arial"/>
                <w:bCs w:val="0"/>
                <w:color w:val="FFFFFF" w:themeColor="background1"/>
                <w:sz w:val="28"/>
                <w:szCs w:val="28"/>
              </w:rPr>
            </w:pPr>
            <w:r w:rsidRPr="00F65AB7">
              <w:rPr>
                <w:rFonts w:ascii="Arial" w:hAnsi="Arial" w:cs="Arial"/>
                <w:color w:val="FFFFFF" w:themeColor="background1"/>
                <w:sz w:val="28"/>
                <w:szCs w:val="28"/>
              </w:rPr>
              <w:t>Scotland - Interfund Transfers</w:t>
            </w:r>
          </w:p>
        </w:tc>
        <w:tc>
          <w:tcPr>
            <w:tcW w:w="3321" w:type="dxa"/>
            <w:shd w:val="clear" w:color="auto" w:fill="7030A0"/>
            <w:vAlign w:val="center"/>
          </w:tcPr>
          <w:p w:rsidR="005432DC" w:rsidRPr="00F65AB7" w:rsidRDefault="005432DC" w:rsidP="00F65AB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8"/>
                <w:szCs w:val="28"/>
              </w:rPr>
            </w:pPr>
            <w:r w:rsidRPr="00F65AB7">
              <w:rPr>
                <w:rFonts w:ascii="Arial" w:hAnsi="Arial" w:cs="Arial"/>
                <w:b/>
                <w:color w:val="FFFFFF" w:themeColor="background1"/>
                <w:sz w:val="28"/>
                <w:szCs w:val="28"/>
              </w:rPr>
              <w:t>26/02/2015</w:t>
            </w:r>
          </w:p>
        </w:tc>
      </w:tr>
      <w:tr w:rsidR="001F5F06" w:rsidTr="001F5F06">
        <w:trPr>
          <w:trHeight w:val="397"/>
        </w:trPr>
        <w:tc>
          <w:tcPr>
            <w:cnfStyle w:val="001000000000" w:firstRow="0" w:lastRow="0" w:firstColumn="1" w:lastColumn="0" w:oddVBand="0" w:evenVBand="0" w:oddHBand="0" w:evenHBand="0" w:firstRowFirstColumn="0" w:firstRowLastColumn="0" w:lastRowFirstColumn="0" w:lastRowLastColumn="0"/>
            <w:tcW w:w="1555" w:type="dxa"/>
            <w:shd w:val="clear" w:color="auto" w:fill="FFFFFF" w:themeFill="background1"/>
          </w:tcPr>
          <w:p w:rsidR="001F5F06" w:rsidRPr="001F5F06" w:rsidRDefault="001F5F06" w:rsidP="003C2E33">
            <w:pPr>
              <w:autoSpaceDE w:val="0"/>
              <w:autoSpaceDN w:val="0"/>
              <w:rPr>
                <w:rFonts w:ascii="Arial" w:hAnsi="Arial" w:cs="Arial"/>
                <w:bCs w:val="0"/>
                <w:sz w:val="24"/>
                <w:szCs w:val="24"/>
              </w:rPr>
            </w:pPr>
            <w:r w:rsidRPr="001F5F06">
              <w:rPr>
                <w:rFonts w:ascii="Arial" w:hAnsi="Arial" w:cs="Arial"/>
                <w:sz w:val="24"/>
                <w:szCs w:val="24"/>
              </w:rPr>
              <w:t xml:space="preserve">Query 26: </w:t>
            </w:r>
            <w:bookmarkStart w:id="18" w:name="twentysix"/>
            <w:bookmarkEnd w:id="18"/>
          </w:p>
        </w:tc>
        <w:tc>
          <w:tcPr>
            <w:tcW w:w="12393" w:type="dxa"/>
            <w:gridSpan w:val="2"/>
            <w:shd w:val="clear" w:color="auto" w:fill="FFFFFF" w:themeFill="background1"/>
          </w:tcPr>
          <w:p w:rsidR="001F5F06" w:rsidRDefault="001F5F06" w:rsidP="003C2E33">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Methodology used in Scottish </w:t>
            </w:r>
            <w:proofErr w:type="spellStart"/>
            <w:r>
              <w:rPr>
                <w:rFonts w:ascii="Arial" w:hAnsi="Arial" w:cs="Arial"/>
                <w:b/>
                <w:sz w:val="24"/>
                <w:szCs w:val="24"/>
              </w:rPr>
              <w:t>interfunds</w:t>
            </w:r>
            <w:proofErr w:type="spellEnd"/>
            <w:r>
              <w:rPr>
                <w:rFonts w:ascii="Arial" w:hAnsi="Arial" w:cs="Arial"/>
                <w:b/>
                <w:sz w:val="24"/>
                <w:szCs w:val="24"/>
              </w:rPr>
              <w:t xml:space="preserve"> is different to that in E&amp;W</w:t>
            </w:r>
          </w:p>
        </w:tc>
      </w:tr>
      <w:tr w:rsidR="005432DC" w:rsidTr="008C6C1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948" w:type="dxa"/>
            <w:gridSpan w:val="3"/>
            <w:shd w:val="clear" w:color="auto" w:fill="FFFFFF" w:themeFill="background1"/>
          </w:tcPr>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In the latest “Individual Incoming and Outgoing Transfer”</w:t>
            </w:r>
            <w:r w:rsidRPr="006D25BE">
              <w:rPr>
                <w:rFonts w:ascii="Arial" w:hAnsi="Arial" w:cs="Arial"/>
                <w:b w:val="0"/>
                <w:sz w:val="24"/>
                <w:szCs w:val="24"/>
              </w:rPr>
              <w:t xml:space="preserve"> guidance</w:t>
            </w:r>
            <w:r>
              <w:rPr>
                <w:rFonts w:ascii="Arial" w:hAnsi="Arial" w:cs="Arial"/>
                <w:b w:val="0"/>
                <w:sz w:val="24"/>
                <w:szCs w:val="24"/>
              </w:rPr>
              <w:t xml:space="preserve"> (dated 9 March 2017) </w:t>
            </w:r>
            <w:r w:rsidRPr="006D25BE">
              <w:rPr>
                <w:rFonts w:ascii="Arial" w:hAnsi="Arial" w:cs="Arial"/>
                <w:b w:val="0"/>
                <w:sz w:val="24"/>
                <w:szCs w:val="24"/>
              </w:rPr>
              <w:t xml:space="preserve">GMPs are ignored for Club transfers out.  So, on the face of it, GMPs should now be excluded from Scottish interfund adjustments. However, that would put the Scottish guidance completely out of step with that applicable in E&amp;W where the interfund is calculated as a non-Club out and in, with the GMP taken into account; whereas in Scotland it would be a Club out and, for post 15 benefits, non-Club in – with the GMP not taken into account. </w:t>
            </w:r>
          </w:p>
          <w:p w:rsidR="001F5F06" w:rsidRDefault="001F5F06" w:rsidP="007070E1">
            <w:pPr>
              <w:shd w:val="clear" w:color="auto" w:fill="EDEDED"/>
              <w:autoSpaceDE w:val="0"/>
              <w:autoSpaceDN w:val="0"/>
              <w:rPr>
                <w:rFonts w:ascii="Arial" w:hAnsi="Arial" w:cs="Arial"/>
                <w:b w:val="0"/>
                <w:sz w:val="24"/>
                <w:szCs w:val="24"/>
              </w:rPr>
            </w:pPr>
          </w:p>
          <w:p w:rsidR="001F5F06" w:rsidRDefault="001F5F06" w:rsidP="007070E1">
            <w:pPr>
              <w:shd w:val="clear" w:color="auto" w:fill="EDEDED"/>
              <w:autoSpaceDE w:val="0"/>
              <w:autoSpaceDN w:val="0"/>
              <w:rPr>
                <w:rFonts w:ascii="Arial" w:hAnsi="Arial" w:cs="Arial"/>
                <w:b w:val="0"/>
                <w:sz w:val="24"/>
                <w:szCs w:val="24"/>
              </w:rPr>
            </w:pPr>
            <w:r>
              <w:rPr>
                <w:rFonts w:ascii="Arial" w:hAnsi="Arial" w:cs="Arial"/>
                <w:b w:val="0"/>
                <w:sz w:val="24"/>
                <w:szCs w:val="24"/>
              </w:rPr>
              <w:t xml:space="preserve">Please advise accordingly. </w:t>
            </w:r>
          </w:p>
          <w:p w:rsidR="001F5F06" w:rsidRDefault="001F5F06" w:rsidP="007070E1">
            <w:pPr>
              <w:shd w:val="clear" w:color="auto" w:fill="EDEDED"/>
              <w:autoSpaceDE w:val="0"/>
              <w:autoSpaceDN w:val="0"/>
              <w:rPr>
                <w:rFonts w:ascii="Arial" w:hAnsi="Arial" w:cs="Arial"/>
                <w:b w:val="0"/>
                <w:sz w:val="24"/>
                <w:szCs w:val="24"/>
              </w:rPr>
            </w:pPr>
          </w:p>
          <w:p w:rsidR="005432DC" w:rsidRPr="00910503" w:rsidRDefault="00F65AB7" w:rsidP="007070E1">
            <w:pPr>
              <w:shd w:val="clear" w:color="auto" w:fill="EDEDED"/>
              <w:autoSpaceDE w:val="0"/>
              <w:autoSpaceDN w:val="0"/>
              <w:rPr>
                <w:rFonts w:ascii="Arial" w:hAnsi="Arial" w:cs="Arial"/>
                <w:b w:val="0"/>
                <w:color w:val="FF0000"/>
                <w:sz w:val="24"/>
                <w:szCs w:val="24"/>
              </w:rPr>
            </w:pPr>
            <w:r>
              <w:rPr>
                <w:rFonts w:ascii="Arial" w:hAnsi="Arial" w:cs="Arial"/>
                <w:b w:val="0"/>
                <w:sz w:val="24"/>
                <w:szCs w:val="24"/>
              </w:rPr>
              <w:t>Query first raised on 24/04/2017</w:t>
            </w:r>
          </w:p>
        </w:tc>
      </w:tr>
    </w:tbl>
    <w:p w:rsidR="005C18F5" w:rsidRPr="00B125E0" w:rsidRDefault="005C18F5" w:rsidP="00A7164E">
      <w:pPr>
        <w:rPr>
          <w:rFonts w:ascii="Arial" w:hAnsi="Arial" w:cs="Arial"/>
          <w:sz w:val="24"/>
          <w:szCs w:val="24"/>
        </w:rPr>
      </w:pPr>
    </w:p>
    <w:sectPr w:rsidR="005C18F5" w:rsidRPr="00B125E0" w:rsidSect="00FB37CC">
      <w:footerReference w:type="default" r:id="rId25"/>
      <w:footerReference w:type="first" r:id="rId26"/>
      <w:pgSz w:w="16838" w:h="11906" w:orient="landscape"/>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004" w:rsidRDefault="00B52004" w:rsidP="00F65AB7">
      <w:pPr>
        <w:spacing w:after="0" w:line="240" w:lineRule="auto"/>
      </w:pPr>
      <w:r>
        <w:separator/>
      </w:r>
    </w:p>
  </w:endnote>
  <w:endnote w:type="continuationSeparator" w:id="0">
    <w:p w:rsidR="00B52004" w:rsidRDefault="00B52004" w:rsidP="00F6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8468"/>
      <w:docPartObj>
        <w:docPartGallery w:val="Page Numbers (Bottom of Page)"/>
        <w:docPartUnique/>
      </w:docPartObj>
    </w:sdtPr>
    <w:sdtEndPr>
      <w:rPr>
        <w:noProof/>
      </w:rPr>
    </w:sdtEndPr>
    <w:sdtContent>
      <w:p w:rsidR="00B52004" w:rsidRDefault="00B52004">
        <w:pPr>
          <w:pStyle w:val="Footer"/>
          <w:jc w:val="center"/>
        </w:pPr>
        <w:r>
          <w:fldChar w:fldCharType="begin"/>
        </w:r>
        <w:r>
          <w:instrText xml:space="preserve"> PAGE   \* MERGEFORMAT </w:instrText>
        </w:r>
        <w:r>
          <w:fldChar w:fldCharType="separate"/>
        </w:r>
        <w:r w:rsidR="00F84D2F">
          <w:rPr>
            <w:noProof/>
          </w:rPr>
          <w:t>2</w:t>
        </w:r>
        <w:r>
          <w:rPr>
            <w:noProof/>
          </w:rPr>
          <w:fldChar w:fldCharType="end"/>
        </w:r>
      </w:p>
    </w:sdtContent>
  </w:sdt>
  <w:p w:rsidR="00B52004" w:rsidRDefault="00B52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7CC" w:rsidRDefault="007F7E54">
    <w:pPr>
      <w:pStyle w:val="Footer"/>
    </w:pPr>
    <w:r>
      <w:t xml:space="preserve">Last update: </w:t>
    </w:r>
    <w:r w:rsidR="00F84D2F">
      <w:t>26</w:t>
    </w:r>
    <w:r w:rsidR="00FB37CC">
      <w:t>/6/2017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004" w:rsidRDefault="00B52004" w:rsidP="00F65AB7">
      <w:pPr>
        <w:spacing w:after="0" w:line="240" w:lineRule="auto"/>
      </w:pPr>
      <w:r>
        <w:separator/>
      </w:r>
    </w:p>
  </w:footnote>
  <w:footnote w:type="continuationSeparator" w:id="0">
    <w:p w:rsidR="00B52004" w:rsidRDefault="00B52004" w:rsidP="00F65AB7">
      <w:pPr>
        <w:spacing w:after="0" w:line="240" w:lineRule="auto"/>
      </w:pPr>
      <w:r>
        <w:continuationSeparator/>
      </w:r>
    </w:p>
  </w:footnote>
  <w:footnote w:id="1">
    <w:p w:rsidR="00B52004" w:rsidRDefault="00B52004">
      <w:pPr>
        <w:pStyle w:val="FootnoteText"/>
      </w:pPr>
      <w:r>
        <w:rPr>
          <w:rStyle w:val="FootnoteReference"/>
        </w:rPr>
        <w:footnoteRef/>
      </w:r>
      <w:r>
        <w:t xml:space="preserve"> Corresponds to query number on referral log used in meeting of 23/05/2017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055D"/>
    <w:multiLevelType w:val="hybridMultilevel"/>
    <w:tmpl w:val="F79CD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0746A2"/>
    <w:multiLevelType w:val="hybridMultilevel"/>
    <w:tmpl w:val="0B983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6B6961"/>
    <w:multiLevelType w:val="hybridMultilevel"/>
    <w:tmpl w:val="4E5C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E0"/>
    <w:rsid w:val="0001051A"/>
    <w:rsid w:val="00037F31"/>
    <w:rsid w:val="00047E7C"/>
    <w:rsid w:val="00090538"/>
    <w:rsid w:val="000C05E5"/>
    <w:rsid w:val="000F7854"/>
    <w:rsid w:val="001172E9"/>
    <w:rsid w:val="00140C49"/>
    <w:rsid w:val="0016767B"/>
    <w:rsid w:val="001B155C"/>
    <w:rsid w:val="001B36CE"/>
    <w:rsid w:val="001F5F06"/>
    <w:rsid w:val="00337AC2"/>
    <w:rsid w:val="003405B6"/>
    <w:rsid w:val="003573BA"/>
    <w:rsid w:val="00370F5E"/>
    <w:rsid w:val="003933E5"/>
    <w:rsid w:val="003A2579"/>
    <w:rsid w:val="003A721F"/>
    <w:rsid w:val="003C2E33"/>
    <w:rsid w:val="00403799"/>
    <w:rsid w:val="00475DF4"/>
    <w:rsid w:val="004C2620"/>
    <w:rsid w:val="004D6AF8"/>
    <w:rsid w:val="004E0588"/>
    <w:rsid w:val="004E6D92"/>
    <w:rsid w:val="005432DC"/>
    <w:rsid w:val="00583AD3"/>
    <w:rsid w:val="005B1628"/>
    <w:rsid w:val="005C18F5"/>
    <w:rsid w:val="00643BA9"/>
    <w:rsid w:val="00654474"/>
    <w:rsid w:val="00696DC3"/>
    <w:rsid w:val="006D25BE"/>
    <w:rsid w:val="007058CD"/>
    <w:rsid w:val="007070E1"/>
    <w:rsid w:val="00750573"/>
    <w:rsid w:val="00797B9C"/>
    <w:rsid w:val="007F7E54"/>
    <w:rsid w:val="008347D9"/>
    <w:rsid w:val="00846337"/>
    <w:rsid w:val="00891AE9"/>
    <w:rsid w:val="008C6C14"/>
    <w:rsid w:val="008E7B6A"/>
    <w:rsid w:val="00921220"/>
    <w:rsid w:val="00930EB0"/>
    <w:rsid w:val="00997DFF"/>
    <w:rsid w:val="009C4270"/>
    <w:rsid w:val="009D7BF6"/>
    <w:rsid w:val="009E4582"/>
    <w:rsid w:val="00A538C8"/>
    <w:rsid w:val="00A7164E"/>
    <w:rsid w:val="00A77A81"/>
    <w:rsid w:val="00AF7C6A"/>
    <w:rsid w:val="00B01799"/>
    <w:rsid w:val="00B125E0"/>
    <w:rsid w:val="00B52004"/>
    <w:rsid w:val="00B9751D"/>
    <w:rsid w:val="00BC4961"/>
    <w:rsid w:val="00C22E6B"/>
    <w:rsid w:val="00C73A2A"/>
    <w:rsid w:val="00CB1EB3"/>
    <w:rsid w:val="00CB40A9"/>
    <w:rsid w:val="00D161B8"/>
    <w:rsid w:val="00D45B4D"/>
    <w:rsid w:val="00D51AA8"/>
    <w:rsid w:val="00D75FB9"/>
    <w:rsid w:val="00D97F9A"/>
    <w:rsid w:val="00DC753A"/>
    <w:rsid w:val="00E61684"/>
    <w:rsid w:val="00E8023E"/>
    <w:rsid w:val="00E92034"/>
    <w:rsid w:val="00EC7281"/>
    <w:rsid w:val="00F560B2"/>
    <w:rsid w:val="00F65AB7"/>
    <w:rsid w:val="00F84D2F"/>
    <w:rsid w:val="00FB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5C98B56-8893-49A5-B78B-36ED535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1">
    <w:name w:val="Grid Table 7 Colorful Accent 1"/>
    <w:basedOn w:val="TableNormal"/>
    <w:uiPriority w:val="52"/>
    <w:rsid w:val="00140C4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5Dark-Accent3">
    <w:name w:val="Grid Table 5 Dark Accent 3"/>
    <w:basedOn w:val="TableNormal"/>
    <w:uiPriority w:val="50"/>
    <w:rsid w:val="00140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140C4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
    <w:name w:val="Grid Table 6 Colorful"/>
    <w:basedOn w:val="TableNormal"/>
    <w:uiPriority w:val="51"/>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140C4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40C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2">
    <w:name w:val="Grid Table 7 Colorful Accent 2"/>
    <w:basedOn w:val="TableNormal"/>
    <w:uiPriority w:val="52"/>
    <w:rsid w:val="00140C4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3">
    <w:name w:val="Grid Table 4 Accent 3"/>
    <w:basedOn w:val="TableNormal"/>
    <w:uiPriority w:val="49"/>
    <w:rsid w:val="00140C4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E92034"/>
    <w:rPr>
      <w:color w:val="0563C1"/>
      <w:u w:val="single"/>
    </w:rPr>
  </w:style>
  <w:style w:type="character" w:styleId="FollowedHyperlink">
    <w:name w:val="FollowedHyperlink"/>
    <w:basedOn w:val="DefaultParagraphFont"/>
    <w:uiPriority w:val="99"/>
    <w:semiHidden/>
    <w:unhideWhenUsed/>
    <w:rsid w:val="00E92034"/>
    <w:rPr>
      <w:color w:val="954F72" w:themeColor="followedHyperlink"/>
      <w:u w:val="single"/>
    </w:rPr>
  </w:style>
  <w:style w:type="paragraph" w:styleId="ListParagraph">
    <w:name w:val="List Paragraph"/>
    <w:basedOn w:val="Normal"/>
    <w:uiPriority w:val="34"/>
    <w:qFormat/>
    <w:rsid w:val="0016767B"/>
    <w:pPr>
      <w:ind w:left="720"/>
      <w:contextualSpacing/>
    </w:pPr>
  </w:style>
  <w:style w:type="paragraph" w:styleId="Header">
    <w:name w:val="header"/>
    <w:basedOn w:val="Normal"/>
    <w:link w:val="HeaderChar"/>
    <w:uiPriority w:val="99"/>
    <w:unhideWhenUsed/>
    <w:rsid w:val="00F65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AB7"/>
  </w:style>
  <w:style w:type="paragraph" w:styleId="Footer">
    <w:name w:val="footer"/>
    <w:basedOn w:val="Normal"/>
    <w:link w:val="FooterChar"/>
    <w:uiPriority w:val="99"/>
    <w:unhideWhenUsed/>
    <w:rsid w:val="00F65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AB7"/>
  </w:style>
  <w:style w:type="paragraph" w:styleId="FootnoteText">
    <w:name w:val="footnote text"/>
    <w:basedOn w:val="Normal"/>
    <w:link w:val="FootnoteTextChar"/>
    <w:uiPriority w:val="99"/>
    <w:semiHidden/>
    <w:unhideWhenUsed/>
    <w:rsid w:val="00CB1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EB3"/>
    <w:rPr>
      <w:sz w:val="20"/>
      <w:szCs w:val="20"/>
    </w:rPr>
  </w:style>
  <w:style w:type="character" w:styleId="FootnoteReference">
    <w:name w:val="footnote reference"/>
    <w:basedOn w:val="DefaultParagraphFont"/>
    <w:uiPriority w:val="99"/>
    <w:semiHidden/>
    <w:unhideWhenUsed/>
    <w:rsid w:val="00CB1EB3"/>
    <w:rPr>
      <w:vertAlign w:val="superscript"/>
    </w:rPr>
  </w:style>
  <w:style w:type="paragraph" w:styleId="BalloonText">
    <w:name w:val="Balloon Text"/>
    <w:basedOn w:val="Normal"/>
    <w:link w:val="BalloonTextChar"/>
    <w:uiPriority w:val="99"/>
    <w:semiHidden/>
    <w:unhideWhenUsed/>
    <w:rsid w:val="0040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99"/>
    <w:rPr>
      <w:rFonts w:ascii="Segoe UI" w:hAnsi="Segoe UI" w:cs="Segoe UI"/>
      <w:sz w:val="18"/>
      <w:szCs w:val="18"/>
    </w:rPr>
  </w:style>
  <w:style w:type="character" w:customStyle="1" w:styleId="title-text">
    <w:name w:val="title-text"/>
    <w:basedOn w:val="DefaultParagraphFont"/>
    <w:rsid w:val="0011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89998">
      <w:bodyDiv w:val="1"/>
      <w:marLeft w:val="0"/>
      <w:marRight w:val="0"/>
      <w:marTop w:val="0"/>
      <w:marBottom w:val="0"/>
      <w:divBdr>
        <w:top w:val="none" w:sz="0" w:space="0" w:color="auto"/>
        <w:left w:val="none" w:sz="0" w:space="0" w:color="auto"/>
        <w:bottom w:val="none" w:sz="0" w:space="0" w:color="auto"/>
        <w:right w:val="none" w:sz="0" w:space="0" w:color="auto"/>
      </w:divBdr>
      <w:divsChild>
        <w:div w:id="757678622">
          <w:marLeft w:val="0"/>
          <w:marRight w:val="0"/>
          <w:marTop w:val="0"/>
          <w:marBottom w:val="0"/>
          <w:divBdr>
            <w:top w:val="none" w:sz="0" w:space="0" w:color="auto"/>
            <w:left w:val="none" w:sz="0" w:space="0" w:color="auto"/>
            <w:bottom w:val="none" w:sz="0" w:space="0" w:color="auto"/>
            <w:right w:val="none" w:sz="0" w:space="0" w:color="auto"/>
          </w:divBdr>
        </w:div>
        <w:div w:id="403065361">
          <w:marLeft w:val="0"/>
          <w:marRight w:val="0"/>
          <w:marTop w:val="0"/>
          <w:marBottom w:val="0"/>
          <w:divBdr>
            <w:top w:val="none" w:sz="0" w:space="0" w:color="auto"/>
            <w:left w:val="none" w:sz="0" w:space="0" w:color="auto"/>
            <w:bottom w:val="none" w:sz="0" w:space="0" w:color="auto"/>
            <w:right w:val="none" w:sz="0" w:space="0" w:color="auto"/>
          </w:divBdr>
        </w:div>
      </w:divsChild>
    </w:div>
    <w:div w:id="455295637">
      <w:bodyDiv w:val="1"/>
      <w:marLeft w:val="0"/>
      <w:marRight w:val="0"/>
      <w:marTop w:val="0"/>
      <w:marBottom w:val="0"/>
      <w:divBdr>
        <w:top w:val="none" w:sz="0" w:space="0" w:color="auto"/>
        <w:left w:val="none" w:sz="0" w:space="0" w:color="auto"/>
        <w:bottom w:val="none" w:sz="0" w:space="0" w:color="auto"/>
        <w:right w:val="none" w:sz="0" w:space="0" w:color="auto"/>
      </w:divBdr>
    </w:div>
    <w:div w:id="759981408">
      <w:bodyDiv w:val="1"/>
      <w:marLeft w:val="0"/>
      <w:marRight w:val="0"/>
      <w:marTop w:val="0"/>
      <w:marBottom w:val="0"/>
      <w:divBdr>
        <w:top w:val="none" w:sz="0" w:space="0" w:color="auto"/>
        <w:left w:val="none" w:sz="0" w:space="0" w:color="auto"/>
        <w:bottom w:val="none" w:sz="0" w:space="0" w:color="auto"/>
        <w:right w:val="none" w:sz="0" w:space="0" w:color="auto"/>
      </w:divBdr>
      <w:divsChild>
        <w:div w:id="1951736676">
          <w:marLeft w:val="0"/>
          <w:marRight w:val="0"/>
          <w:marTop w:val="0"/>
          <w:marBottom w:val="0"/>
          <w:divBdr>
            <w:top w:val="none" w:sz="0" w:space="0" w:color="auto"/>
            <w:left w:val="none" w:sz="0" w:space="0" w:color="auto"/>
            <w:bottom w:val="none" w:sz="0" w:space="0" w:color="auto"/>
            <w:right w:val="none" w:sz="0" w:space="0" w:color="auto"/>
          </w:divBdr>
        </w:div>
        <w:div w:id="1328703219">
          <w:marLeft w:val="0"/>
          <w:marRight w:val="0"/>
          <w:marTop w:val="0"/>
          <w:marBottom w:val="0"/>
          <w:divBdr>
            <w:top w:val="none" w:sz="0" w:space="0" w:color="auto"/>
            <w:left w:val="none" w:sz="0" w:space="0" w:color="auto"/>
            <w:bottom w:val="none" w:sz="0" w:space="0" w:color="auto"/>
            <w:right w:val="none" w:sz="0" w:space="0" w:color="auto"/>
          </w:divBdr>
        </w:div>
      </w:divsChild>
    </w:div>
    <w:div w:id="1145969912">
      <w:bodyDiv w:val="1"/>
      <w:marLeft w:val="0"/>
      <w:marRight w:val="0"/>
      <w:marTop w:val="0"/>
      <w:marBottom w:val="0"/>
      <w:divBdr>
        <w:top w:val="none" w:sz="0" w:space="0" w:color="auto"/>
        <w:left w:val="none" w:sz="0" w:space="0" w:color="auto"/>
        <w:bottom w:val="none" w:sz="0" w:space="0" w:color="auto"/>
        <w:right w:val="none" w:sz="0" w:space="0" w:color="auto"/>
      </w:divBdr>
      <w:divsChild>
        <w:div w:id="840773930">
          <w:marLeft w:val="0"/>
          <w:marRight w:val="0"/>
          <w:marTop w:val="0"/>
          <w:marBottom w:val="0"/>
          <w:divBdr>
            <w:top w:val="none" w:sz="0" w:space="0" w:color="auto"/>
            <w:left w:val="none" w:sz="0" w:space="0" w:color="auto"/>
            <w:bottom w:val="none" w:sz="0" w:space="0" w:color="auto"/>
            <w:right w:val="none" w:sz="0" w:space="0" w:color="auto"/>
          </w:divBdr>
        </w:div>
        <w:div w:id="753867553">
          <w:marLeft w:val="0"/>
          <w:marRight w:val="0"/>
          <w:marTop w:val="0"/>
          <w:marBottom w:val="0"/>
          <w:divBdr>
            <w:top w:val="none" w:sz="0" w:space="0" w:color="auto"/>
            <w:left w:val="none" w:sz="0" w:space="0" w:color="auto"/>
            <w:bottom w:val="none" w:sz="0" w:space="0" w:color="auto"/>
            <w:right w:val="none" w:sz="0" w:space="0" w:color="auto"/>
          </w:divBdr>
        </w:div>
      </w:divsChild>
    </w:div>
    <w:div w:id="1196504049">
      <w:bodyDiv w:val="1"/>
      <w:marLeft w:val="0"/>
      <w:marRight w:val="0"/>
      <w:marTop w:val="0"/>
      <w:marBottom w:val="0"/>
      <w:divBdr>
        <w:top w:val="none" w:sz="0" w:space="0" w:color="auto"/>
        <w:left w:val="none" w:sz="0" w:space="0" w:color="auto"/>
        <w:bottom w:val="none" w:sz="0" w:space="0" w:color="auto"/>
        <w:right w:val="none" w:sz="0" w:space="0" w:color="auto"/>
      </w:divBdr>
    </w:div>
    <w:div w:id="1397512666">
      <w:bodyDiv w:val="1"/>
      <w:marLeft w:val="0"/>
      <w:marRight w:val="0"/>
      <w:marTop w:val="0"/>
      <w:marBottom w:val="0"/>
      <w:divBdr>
        <w:top w:val="none" w:sz="0" w:space="0" w:color="auto"/>
        <w:left w:val="none" w:sz="0" w:space="0" w:color="auto"/>
        <w:bottom w:val="none" w:sz="0" w:space="0" w:color="auto"/>
        <w:right w:val="none" w:sz="0" w:space="0" w:color="auto"/>
      </w:divBdr>
    </w:div>
    <w:div w:id="1443501342">
      <w:bodyDiv w:val="1"/>
      <w:marLeft w:val="0"/>
      <w:marRight w:val="0"/>
      <w:marTop w:val="0"/>
      <w:marBottom w:val="0"/>
      <w:divBdr>
        <w:top w:val="none" w:sz="0" w:space="0" w:color="auto"/>
        <w:left w:val="none" w:sz="0" w:space="0" w:color="auto"/>
        <w:bottom w:val="none" w:sz="0" w:space="0" w:color="auto"/>
        <w:right w:val="none" w:sz="0" w:space="0" w:color="auto"/>
      </w:divBdr>
      <w:divsChild>
        <w:div w:id="2134399898">
          <w:marLeft w:val="0"/>
          <w:marRight w:val="0"/>
          <w:marTop w:val="0"/>
          <w:marBottom w:val="0"/>
          <w:divBdr>
            <w:top w:val="none" w:sz="0" w:space="0" w:color="auto"/>
            <w:left w:val="none" w:sz="0" w:space="0" w:color="auto"/>
            <w:bottom w:val="none" w:sz="0" w:space="0" w:color="auto"/>
            <w:right w:val="none" w:sz="0" w:space="0" w:color="auto"/>
          </w:divBdr>
        </w:div>
        <w:div w:id="1164127082">
          <w:marLeft w:val="0"/>
          <w:marRight w:val="0"/>
          <w:marTop w:val="0"/>
          <w:marBottom w:val="0"/>
          <w:divBdr>
            <w:top w:val="none" w:sz="0" w:space="0" w:color="auto"/>
            <w:left w:val="none" w:sz="0" w:space="0" w:color="auto"/>
            <w:bottom w:val="none" w:sz="0" w:space="0" w:color="auto"/>
            <w:right w:val="none" w:sz="0" w:space="0" w:color="auto"/>
          </w:divBdr>
        </w:div>
        <w:div w:id="264962561">
          <w:marLeft w:val="0"/>
          <w:marRight w:val="0"/>
          <w:marTop w:val="0"/>
          <w:marBottom w:val="0"/>
          <w:divBdr>
            <w:top w:val="none" w:sz="0" w:space="0" w:color="auto"/>
            <w:left w:val="none" w:sz="0" w:space="0" w:color="auto"/>
            <w:bottom w:val="none" w:sz="0" w:space="0" w:color="auto"/>
            <w:right w:val="none" w:sz="0" w:space="0" w:color="auto"/>
          </w:divBdr>
        </w:div>
        <w:div w:id="1456825290">
          <w:marLeft w:val="0"/>
          <w:marRight w:val="0"/>
          <w:marTop w:val="0"/>
          <w:marBottom w:val="0"/>
          <w:divBdr>
            <w:top w:val="none" w:sz="0" w:space="0" w:color="auto"/>
            <w:left w:val="none" w:sz="0" w:space="0" w:color="auto"/>
            <w:bottom w:val="none" w:sz="0" w:space="0" w:color="auto"/>
            <w:right w:val="none" w:sz="0" w:space="0" w:color="auto"/>
          </w:divBdr>
        </w:div>
        <w:div w:id="1562204819">
          <w:marLeft w:val="0"/>
          <w:marRight w:val="0"/>
          <w:marTop w:val="0"/>
          <w:marBottom w:val="0"/>
          <w:divBdr>
            <w:top w:val="none" w:sz="0" w:space="0" w:color="auto"/>
            <w:left w:val="none" w:sz="0" w:space="0" w:color="auto"/>
            <w:bottom w:val="none" w:sz="0" w:space="0" w:color="auto"/>
            <w:right w:val="none" w:sz="0" w:space="0" w:color="auto"/>
          </w:divBdr>
        </w:div>
      </w:divsChild>
    </w:div>
    <w:div w:id="1504318183">
      <w:bodyDiv w:val="1"/>
      <w:marLeft w:val="0"/>
      <w:marRight w:val="0"/>
      <w:marTop w:val="0"/>
      <w:marBottom w:val="0"/>
      <w:divBdr>
        <w:top w:val="none" w:sz="0" w:space="0" w:color="auto"/>
        <w:left w:val="none" w:sz="0" w:space="0" w:color="auto"/>
        <w:bottom w:val="none" w:sz="0" w:space="0" w:color="auto"/>
        <w:right w:val="none" w:sz="0" w:space="0" w:color="auto"/>
      </w:divBdr>
      <w:divsChild>
        <w:div w:id="1567840671">
          <w:marLeft w:val="0"/>
          <w:marRight w:val="0"/>
          <w:marTop w:val="0"/>
          <w:marBottom w:val="0"/>
          <w:divBdr>
            <w:top w:val="none" w:sz="0" w:space="0" w:color="auto"/>
            <w:left w:val="none" w:sz="0" w:space="0" w:color="auto"/>
            <w:bottom w:val="none" w:sz="0" w:space="0" w:color="auto"/>
            <w:right w:val="none" w:sz="0" w:space="0" w:color="auto"/>
          </w:divBdr>
        </w:div>
        <w:div w:id="1531069933">
          <w:marLeft w:val="0"/>
          <w:marRight w:val="0"/>
          <w:marTop w:val="0"/>
          <w:marBottom w:val="0"/>
          <w:divBdr>
            <w:top w:val="none" w:sz="0" w:space="0" w:color="auto"/>
            <w:left w:val="none" w:sz="0" w:space="0" w:color="auto"/>
            <w:bottom w:val="none" w:sz="0" w:space="0" w:color="auto"/>
            <w:right w:val="none" w:sz="0" w:space="0" w:color="auto"/>
          </w:divBdr>
        </w:div>
        <w:div w:id="1000233012">
          <w:marLeft w:val="0"/>
          <w:marRight w:val="0"/>
          <w:marTop w:val="0"/>
          <w:marBottom w:val="0"/>
          <w:divBdr>
            <w:top w:val="none" w:sz="0" w:space="0" w:color="auto"/>
            <w:left w:val="none" w:sz="0" w:space="0" w:color="auto"/>
            <w:bottom w:val="none" w:sz="0" w:space="0" w:color="auto"/>
            <w:right w:val="none" w:sz="0" w:space="0" w:color="auto"/>
          </w:divBdr>
        </w:div>
        <w:div w:id="1570849809">
          <w:marLeft w:val="0"/>
          <w:marRight w:val="0"/>
          <w:marTop w:val="0"/>
          <w:marBottom w:val="0"/>
          <w:divBdr>
            <w:top w:val="none" w:sz="0" w:space="0" w:color="auto"/>
            <w:left w:val="none" w:sz="0" w:space="0" w:color="auto"/>
            <w:bottom w:val="none" w:sz="0" w:space="0" w:color="auto"/>
            <w:right w:val="none" w:sz="0" w:space="0" w:color="auto"/>
          </w:divBdr>
        </w:div>
      </w:divsChild>
    </w:div>
    <w:div w:id="1530606303">
      <w:bodyDiv w:val="1"/>
      <w:marLeft w:val="0"/>
      <w:marRight w:val="0"/>
      <w:marTop w:val="0"/>
      <w:marBottom w:val="0"/>
      <w:divBdr>
        <w:top w:val="none" w:sz="0" w:space="0" w:color="auto"/>
        <w:left w:val="none" w:sz="0" w:space="0" w:color="auto"/>
        <w:bottom w:val="none" w:sz="0" w:space="0" w:color="auto"/>
        <w:right w:val="none" w:sz="0" w:space="0" w:color="auto"/>
      </w:divBdr>
    </w:div>
    <w:div w:id="1676611226">
      <w:bodyDiv w:val="1"/>
      <w:marLeft w:val="0"/>
      <w:marRight w:val="0"/>
      <w:marTop w:val="0"/>
      <w:marBottom w:val="0"/>
      <w:divBdr>
        <w:top w:val="none" w:sz="0" w:space="0" w:color="auto"/>
        <w:left w:val="none" w:sz="0" w:space="0" w:color="auto"/>
        <w:bottom w:val="none" w:sz="0" w:space="0" w:color="auto"/>
        <w:right w:val="none" w:sz="0" w:space="0" w:color="auto"/>
      </w:divBdr>
      <w:divsChild>
        <w:div w:id="1079250960">
          <w:marLeft w:val="0"/>
          <w:marRight w:val="0"/>
          <w:marTop w:val="0"/>
          <w:marBottom w:val="0"/>
          <w:divBdr>
            <w:top w:val="none" w:sz="0" w:space="0" w:color="auto"/>
            <w:left w:val="none" w:sz="0" w:space="0" w:color="auto"/>
            <w:bottom w:val="none" w:sz="0" w:space="0" w:color="auto"/>
            <w:right w:val="none" w:sz="0" w:space="0" w:color="auto"/>
          </w:divBdr>
        </w:div>
        <w:div w:id="884101991">
          <w:marLeft w:val="0"/>
          <w:marRight w:val="0"/>
          <w:marTop w:val="0"/>
          <w:marBottom w:val="0"/>
          <w:divBdr>
            <w:top w:val="none" w:sz="0" w:space="0" w:color="auto"/>
            <w:left w:val="none" w:sz="0" w:space="0" w:color="auto"/>
            <w:bottom w:val="none" w:sz="0" w:space="0" w:color="auto"/>
            <w:right w:val="none" w:sz="0" w:space="0" w:color="auto"/>
          </w:divBdr>
        </w:div>
        <w:div w:id="1218934792">
          <w:marLeft w:val="0"/>
          <w:marRight w:val="0"/>
          <w:marTop w:val="0"/>
          <w:marBottom w:val="0"/>
          <w:divBdr>
            <w:top w:val="none" w:sz="0" w:space="0" w:color="auto"/>
            <w:left w:val="none" w:sz="0" w:space="0" w:color="auto"/>
            <w:bottom w:val="none" w:sz="0" w:space="0" w:color="auto"/>
            <w:right w:val="none" w:sz="0" w:space="0" w:color="auto"/>
          </w:divBdr>
        </w:div>
        <w:div w:id="1789009284">
          <w:marLeft w:val="0"/>
          <w:marRight w:val="0"/>
          <w:marTop w:val="0"/>
          <w:marBottom w:val="0"/>
          <w:divBdr>
            <w:top w:val="none" w:sz="0" w:space="0" w:color="auto"/>
            <w:left w:val="none" w:sz="0" w:space="0" w:color="auto"/>
            <w:bottom w:val="none" w:sz="0" w:space="0" w:color="auto"/>
            <w:right w:val="none" w:sz="0" w:space="0" w:color="auto"/>
          </w:divBdr>
        </w:div>
        <w:div w:id="1895583536">
          <w:marLeft w:val="0"/>
          <w:marRight w:val="0"/>
          <w:marTop w:val="0"/>
          <w:marBottom w:val="0"/>
          <w:divBdr>
            <w:top w:val="none" w:sz="0" w:space="0" w:color="auto"/>
            <w:left w:val="none" w:sz="0" w:space="0" w:color="auto"/>
            <w:bottom w:val="none" w:sz="0" w:space="0" w:color="auto"/>
            <w:right w:val="none" w:sz="0" w:space="0" w:color="auto"/>
          </w:divBdr>
        </w:div>
        <w:div w:id="1937981399">
          <w:marLeft w:val="0"/>
          <w:marRight w:val="0"/>
          <w:marTop w:val="0"/>
          <w:marBottom w:val="0"/>
          <w:divBdr>
            <w:top w:val="none" w:sz="0" w:space="0" w:color="auto"/>
            <w:left w:val="none" w:sz="0" w:space="0" w:color="auto"/>
            <w:bottom w:val="none" w:sz="0" w:space="0" w:color="auto"/>
            <w:right w:val="none" w:sz="0" w:space="0" w:color="auto"/>
          </w:divBdr>
        </w:div>
        <w:div w:id="944655542">
          <w:marLeft w:val="0"/>
          <w:marRight w:val="0"/>
          <w:marTop w:val="0"/>
          <w:marBottom w:val="0"/>
          <w:divBdr>
            <w:top w:val="none" w:sz="0" w:space="0" w:color="auto"/>
            <w:left w:val="none" w:sz="0" w:space="0" w:color="auto"/>
            <w:bottom w:val="none" w:sz="0" w:space="0" w:color="auto"/>
            <w:right w:val="none" w:sz="0" w:space="0" w:color="auto"/>
          </w:divBdr>
        </w:div>
        <w:div w:id="246109894">
          <w:marLeft w:val="0"/>
          <w:marRight w:val="0"/>
          <w:marTop w:val="0"/>
          <w:marBottom w:val="0"/>
          <w:divBdr>
            <w:top w:val="none" w:sz="0" w:space="0" w:color="auto"/>
            <w:left w:val="none" w:sz="0" w:space="0" w:color="auto"/>
            <w:bottom w:val="none" w:sz="0" w:space="0" w:color="auto"/>
            <w:right w:val="none" w:sz="0" w:space="0" w:color="auto"/>
          </w:divBdr>
        </w:div>
        <w:div w:id="503013216">
          <w:marLeft w:val="0"/>
          <w:marRight w:val="0"/>
          <w:marTop w:val="0"/>
          <w:marBottom w:val="0"/>
          <w:divBdr>
            <w:top w:val="none" w:sz="0" w:space="0" w:color="auto"/>
            <w:left w:val="none" w:sz="0" w:space="0" w:color="auto"/>
            <w:bottom w:val="none" w:sz="0" w:space="0" w:color="auto"/>
            <w:right w:val="none" w:sz="0" w:space="0" w:color="auto"/>
          </w:divBdr>
        </w:div>
        <w:div w:id="264458761">
          <w:marLeft w:val="0"/>
          <w:marRight w:val="0"/>
          <w:marTop w:val="0"/>
          <w:marBottom w:val="0"/>
          <w:divBdr>
            <w:top w:val="none" w:sz="0" w:space="0" w:color="auto"/>
            <w:left w:val="none" w:sz="0" w:space="0" w:color="auto"/>
            <w:bottom w:val="none" w:sz="0" w:space="0" w:color="auto"/>
            <w:right w:val="none" w:sz="0" w:space="0" w:color="auto"/>
          </w:divBdr>
        </w:div>
        <w:div w:id="1065644764">
          <w:marLeft w:val="0"/>
          <w:marRight w:val="0"/>
          <w:marTop w:val="0"/>
          <w:marBottom w:val="0"/>
          <w:divBdr>
            <w:top w:val="none" w:sz="0" w:space="0" w:color="auto"/>
            <w:left w:val="none" w:sz="0" w:space="0" w:color="auto"/>
            <w:bottom w:val="none" w:sz="0" w:space="0" w:color="auto"/>
            <w:right w:val="none" w:sz="0" w:space="0" w:color="auto"/>
          </w:divBdr>
        </w:div>
        <w:div w:id="232474403">
          <w:marLeft w:val="0"/>
          <w:marRight w:val="0"/>
          <w:marTop w:val="0"/>
          <w:marBottom w:val="0"/>
          <w:divBdr>
            <w:top w:val="none" w:sz="0" w:space="0" w:color="auto"/>
            <w:left w:val="none" w:sz="0" w:space="0" w:color="auto"/>
            <w:bottom w:val="none" w:sz="0" w:space="0" w:color="auto"/>
            <w:right w:val="none" w:sz="0" w:space="0" w:color="auto"/>
          </w:divBdr>
        </w:div>
        <w:div w:id="683090294">
          <w:marLeft w:val="0"/>
          <w:marRight w:val="0"/>
          <w:marTop w:val="0"/>
          <w:marBottom w:val="0"/>
          <w:divBdr>
            <w:top w:val="none" w:sz="0" w:space="0" w:color="auto"/>
            <w:left w:val="none" w:sz="0" w:space="0" w:color="auto"/>
            <w:bottom w:val="none" w:sz="0" w:space="0" w:color="auto"/>
            <w:right w:val="none" w:sz="0" w:space="0" w:color="auto"/>
          </w:divBdr>
        </w:div>
        <w:div w:id="996687613">
          <w:marLeft w:val="0"/>
          <w:marRight w:val="0"/>
          <w:marTop w:val="0"/>
          <w:marBottom w:val="0"/>
          <w:divBdr>
            <w:top w:val="none" w:sz="0" w:space="0" w:color="auto"/>
            <w:left w:val="none" w:sz="0" w:space="0" w:color="auto"/>
            <w:bottom w:val="none" w:sz="0" w:space="0" w:color="auto"/>
            <w:right w:val="none" w:sz="0" w:space="0" w:color="auto"/>
          </w:divBdr>
        </w:div>
        <w:div w:id="405491071">
          <w:marLeft w:val="0"/>
          <w:marRight w:val="0"/>
          <w:marTop w:val="0"/>
          <w:marBottom w:val="0"/>
          <w:divBdr>
            <w:top w:val="none" w:sz="0" w:space="0" w:color="auto"/>
            <w:left w:val="none" w:sz="0" w:space="0" w:color="auto"/>
            <w:bottom w:val="none" w:sz="0" w:space="0" w:color="auto"/>
            <w:right w:val="none" w:sz="0" w:space="0" w:color="auto"/>
          </w:divBdr>
        </w:div>
        <w:div w:id="473303147">
          <w:marLeft w:val="0"/>
          <w:marRight w:val="0"/>
          <w:marTop w:val="0"/>
          <w:marBottom w:val="0"/>
          <w:divBdr>
            <w:top w:val="none" w:sz="0" w:space="0" w:color="auto"/>
            <w:left w:val="none" w:sz="0" w:space="0" w:color="auto"/>
            <w:bottom w:val="none" w:sz="0" w:space="0" w:color="auto"/>
            <w:right w:val="none" w:sz="0" w:space="0" w:color="auto"/>
          </w:divBdr>
        </w:div>
        <w:div w:id="2027976088">
          <w:marLeft w:val="0"/>
          <w:marRight w:val="0"/>
          <w:marTop w:val="0"/>
          <w:marBottom w:val="0"/>
          <w:divBdr>
            <w:top w:val="none" w:sz="0" w:space="0" w:color="auto"/>
            <w:left w:val="none" w:sz="0" w:space="0" w:color="auto"/>
            <w:bottom w:val="none" w:sz="0" w:space="0" w:color="auto"/>
            <w:right w:val="none" w:sz="0" w:space="0" w:color="auto"/>
          </w:divBdr>
        </w:div>
        <w:div w:id="1812745776">
          <w:marLeft w:val="0"/>
          <w:marRight w:val="0"/>
          <w:marTop w:val="0"/>
          <w:marBottom w:val="0"/>
          <w:divBdr>
            <w:top w:val="none" w:sz="0" w:space="0" w:color="auto"/>
            <w:left w:val="none" w:sz="0" w:space="0" w:color="auto"/>
            <w:bottom w:val="none" w:sz="0" w:space="0" w:color="auto"/>
            <w:right w:val="none" w:sz="0" w:space="0" w:color="auto"/>
          </w:divBdr>
        </w:div>
        <w:div w:id="499540291">
          <w:marLeft w:val="0"/>
          <w:marRight w:val="0"/>
          <w:marTop w:val="0"/>
          <w:marBottom w:val="0"/>
          <w:divBdr>
            <w:top w:val="none" w:sz="0" w:space="0" w:color="auto"/>
            <w:left w:val="none" w:sz="0" w:space="0" w:color="auto"/>
            <w:bottom w:val="none" w:sz="0" w:space="0" w:color="auto"/>
            <w:right w:val="none" w:sz="0" w:space="0" w:color="auto"/>
          </w:divBdr>
        </w:div>
        <w:div w:id="2044288247">
          <w:marLeft w:val="0"/>
          <w:marRight w:val="0"/>
          <w:marTop w:val="0"/>
          <w:marBottom w:val="0"/>
          <w:divBdr>
            <w:top w:val="none" w:sz="0" w:space="0" w:color="auto"/>
            <w:left w:val="none" w:sz="0" w:space="0" w:color="auto"/>
            <w:bottom w:val="none" w:sz="0" w:space="0" w:color="auto"/>
            <w:right w:val="none" w:sz="0" w:space="0" w:color="auto"/>
          </w:divBdr>
        </w:div>
        <w:div w:id="192425771">
          <w:marLeft w:val="0"/>
          <w:marRight w:val="0"/>
          <w:marTop w:val="0"/>
          <w:marBottom w:val="0"/>
          <w:divBdr>
            <w:top w:val="none" w:sz="0" w:space="0" w:color="auto"/>
            <w:left w:val="none" w:sz="0" w:space="0" w:color="auto"/>
            <w:bottom w:val="none" w:sz="0" w:space="0" w:color="auto"/>
            <w:right w:val="none" w:sz="0" w:space="0" w:color="auto"/>
          </w:divBdr>
        </w:div>
        <w:div w:id="331421991">
          <w:marLeft w:val="0"/>
          <w:marRight w:val="0"/>
          <w:marTop w:val="0"/>
          <w:marBottom w:val="0"/>
          <w:divBdr>
            <w:top w:val="none" w:sz="0" w:space="0" w:color="auto"/>
            <w:left w:val="none" w:sz="0" w:space="0" w:color="auto"/>
            <w:bottom w:val="none" w:sz="0" w:space="0" w:color="auto"/>
            <w:right w:val="none" w:sz="0" w:space="0" w:color="auto"/>
          </w:divBdr>
        </w:div>
        <w:div w:id="1925260777">
          <w:marLeft w:val="0"/>
          <w:marRight w:val="0"/>
          <w:marTop w:val="0"/>
          <w:marBottom w:val="0"/>
          <w:divBdr>
            <w:top w:val="none" w:sz="0" w:space="0" w:color="auto"/>
            <w:left w:val="none" w:sz="0" w:space="0" w:color="auto"/>
            <w:bottom w:val="none" w:sz="0" w:space="0" w:color="auto"/>
            <w:right w:val="none" w:sz="0" w:space="0" w:color="auto"/>
          </w:divBdr>
        </w:div>
        <w:div w:id="2045401545">
          <w:marLeft w:val="0"/>
          <w:marRight w:val="0"/>
          <w:marTop w:val="0"/>
          <w:marBottom w:val="0"/>
          <w:divBdr>
            <w:top w:val="none" w:sz="0" w:space="0" w:color="auto"/>
            <w:left w:val="none" w:sz="0" w:space="0" w:color="auto"/>
            <w:bottom w:val="none" w:sz="0" w:space="0" w:color="auto"/>
            <w:right w:val="none" w:sz="0" w:space="0" w:color="auto"/>
          </w:divBdr>
        </w:div>
        <w:div w:id="150219540">
          <w:marLeft w:val="0"/>
          <w:marRight w:val="0"/>
          <w:marTop w:val="0"/>
          <w:marBottom w:val="0"/>
          <w:divBdr>
            <w:top w:val="none" w:sz="0" w:space="0" w:color="auto"/>
            <w:left w:val="none" w:sz="0" w:space="0" w:color="auto"/>
            <w:bottom w:val="none" w:sz="0" w:space="0" w:color="auto"/>
            <w:right w:val="none" w:sz="0" w:space="0" w:color="auto"/>
          </w:divBdr>
        </w:div>
        <w:div w:id="941842939">
          <w:marLeft w:val="0"/>
          <w:marRight w:val="0"/>
          <w:marTop w:val="0"/>
          <w:marBottom w:val="0"/>
          <w:divBdr>
            <w:top w:val="none" w:sz="0" w:space="0" w:color="auto"/>
            <w:left w:val="none" w:sz="0" w:space="0" w:color="auto"/>
            <w:bottom w:val="none" w:sz="0" w:space="0" w:color="auto"/>
            <w:right w:val="none" w:sz="0" w:space="0" w:color="auto"/>
          </w:divBdr>
        </w:div>
        <w:div w:id="1930891957">
          <w:marLeft w:val="0"/>
          <w:marRight w:val="0"/>
          <w:marTop w:val="0"/>
          <w:marBottom w:val="0"/>
          <w:divBdr>
            <w:top w:val="none" w:sz="0" w:space="0" w:color="auto"/>
            <w:left w:val="none" w:sz="0" w:space="0" w:color="auto"/>
            <w:bottom w:val="none" w:sz="0" w:space="0" w:color="auto"/>
            <w:right w:val="none" w:sz="0" w:space="0" w:color="auto"/>
          </w:divBdr>
        </w:div>
        <w:div w:id="756243599">
          <w:marLeft w:val="0"/>
          <w:marRight w:val="0"/>
          <w:marTop w:val="0"/>
          <w:marBottom w:val="0"/>
          <w:divBdr>
            <w:top w:val="none" w:sz="0" w:space="0" w:color="auto"/>
            <w:left w:val="none" w:sz="0" w:space="0" w:color="auto"/>
            <w:bottom w:val="none" w:sz="0" w:space="0" w:color="auto"/>
            <w:right w:val="none" w:sz="0" w:space="0" w:color="auto"/>
          </w:divBdr>
        </w:div>
        <w:div w:id="1854956968">
          <w:marLeft w:val="0"/>
          <w:marRight w:val="0"/>
          <w:marTop w:val="0"/>
          <w:marBottom w:val="0"/>
          <w:divBdr>
            <w:top w:val="none" w:sz="0" w:space="0" w:color="auto"/>
            <w:left w:val="none" w:sz="0" w:space="0" w:color="auto"/>
            <w:bottom w:val="none" w:sz="0" w:space="0" w:color="auto"/>
            <w:right w:val="none" w:sz="0" w:space="0" w:color="auto"/>
          </w:divBdr>
        </w:div>
        <w:div w:id="148135922">
          <w:marLeft w:val="0"/>
          <w:marRight w:val="0"/>
          <w:marTop w:val="0"/>
          <w:marBottom w:val="0"/>
          <w:divBdr>
            <w:top w:val="none" w:sz="0" w:space="0" w:color="auto"/>
            <w:left w:val="none" w:sz="0" w:space="0" w:color="auto"/>
            <w:bottom w:val="none" w:sz="0" w:space="0" w:color="auto"/>
            <w:right w:val="none" w:sz="0" w:space="0" w:color="auto"/>
          </w:divBdr>
        </w:div>
      </w:divsChild>
    </w:div>
    <w:div w:id="1845240779">
      <w:bodyDiv w:val="1"/>
      <w:marLeft w:val="0"/>
      <w:marRight w:val="0"/>
      <w:marTop w:val="0"/>
      <w:marBottom w:val="0"/>
      <w:divBdr>
        <w:top w:val="none" w:sz="0" w:space="0" w:color="auto"/>
        <w:left w:val="none" w:sz="0" w:space="0" w:color="auto"/>
        <w:bottom w:val="none" w:sz="0" w:space="0" w:color="auto"/>
        <w:right w:val="none" w:sz="0" w:space="0" w:color="auto"/>
      </w:divBdr>
    </w:div>
    <w:div w:id="1893732428">
      <w:bodyDiv w:val="1"/>
      <w:marLeft w:val="0"/>
      <w:marRight w:val="0"/>
      <w:marTop w:val="0"/>
      <w:marBottom w:val="0"/>
      <w:divBdr>
        <w:top w:val="none" w:sz="0" w:space="0" w:color="auto"/>
        <w:left w:val="none" w:sz="0" w:space="0" w:color="auto"/>
        <w:bottom w:val="none" w:sz="0" w:space="0" w:color="auto"/>
        <w:right w:val="none" w:sz="0" w:space="0" w:color="auto"/>
      </w:divBdr>
    </w:div>
    <w:div w:id="1938513254">
      <w:bodyDiv w:val="1"/>
      <w:marLeft w:val="0"/>
      <w:marRight w:val="0"/>
      <w:marTop w:val="0"/>
      <w:marBottom w:val="0"/>
      <w:divBdr>
        <w:top w:val="none" w:sz="0" w:space="0" w:color="auto"/>
        <w:left w:val="none" w:sz="0" w:space="0" w:color="auto"/>
        <w:bottom w:val="none" w:sz="0" w:space="0" w:color="auto"/>
        <w:right w:val="none" w:sz="0" w:space="0" w:color="auto"/>
      </w:divBdr>
    </w:div>
    <w:div w:id="19443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gpslibrary.org/assets/actgui/Queries/GAD14.docx" TargetMode="External"/><Relationship Id="rId13" Type="http://schemas.openxmlformats.org/officeDocument/2006/relationships/hyperlink" Target="http://lgpslibrary.org/assets/actgui/Queries/GAD27.docx" TargetMode="External"/><Relationship Id="rId18" Type="http://schemas.openxmlformats.org/officeDocument/2006/relationships/hyperlink" Target="http://lgpslibrary.org/assets/actgui/ew/ASBC20151124AR.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gpslibrary.org/assets/actgui/Queries/GAD14.docx" TargetMode="External"/><Relationship Id="rId7" Type="http://schemas.openxmlformats.org/officeDocument/2006/relationships/endnotes" Target="endnotes.xml"/><Relationship Id="rId12" Type="http://schemas.openxmlformats.org/officeDocument/2006/relationships/hyperlink" Target="http://lgpsregs.org/timelineregs/GAD/Reg%2021_GAD_LTA_Add_Cash_Commutation_Guidance.pdf" TargetMode="External"/><Relationship Id="rId17" Type="http://schemas.openxmlformats.org/officeDocument/2006/relationships/hyperlink" Target="http://lgpslibrary.org/assets/actgui/Queries/GAD6.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gpslibrary.org/assets/bulletins/2015/126.pdf" TargetMode="External"/><Relationship Id="rId20" Type="http://schemas.openxmlformats.org/officeDocument/2006/relationships/hyperlink" Target="http://lgpslibrary.org/assets/actgui/Queries/GAD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gpsregs.org/timelineregs/GAD/GAD%20guidance%20under%20Regulation%2020%20-220506.pdf" TargetMode="External"/><Relationship Id="rId24" Type="http://schemas.openxmlformats.org/officeDocument/2006/relationships/hyperlink" Target="http://lgpslibrary.org/assets/bulletins/2015/132.pdf" TargetMode="External"/><Relationship Id="rId5" Type="http://schemas.openxmlformats.org/officeDocument/2006/relationships/webSettings" Target="webSettings.xml"/><Relationship Id="rId15" Type="http://schemas.openxmlformats.org/officeDocument/2006/relationships/hyperlink" Target="http://lgpslibrary.org/assets/cons/lgpsew/20160527CD.pdf" TargetMode="External"/><Relationship Id="rId23" Type="http://schemas.openxmlformats.org/officeDocument/2006/relationships/hyperlink" Target="http://lgpslibrary.org/assets/actgui/Queries/GAD20.docx" TargetMode="External"/><Relationship Id="rId28" Type="http://schemas.openxmlformats.org/officeDocument/2006/relationships/theme" Target="theme/theme1.xml"/><Relationship Id="rId10" Type="http://schemas.openxmlformats.org/officeDocument/2006/relationships/hyperlink" Target="http://lgpslibrary.org/assets/actgui/Queries/GAD2.docx" TargetMode="External"/><Relationship Id="rId19" Type="http://schemas.openxmlformats.org/officeDocument/2006/relationships/hyperlink" Target="https://www.gov.uk/government/publications/registered-pension-schemes-manual-rpsm/registered-pension-schemes-manual" TargetMode="External"/><Relationship Id="rId4" Type="http://schemas.openxmlformats.org/officeDocument/2006/relationships/settings" Target="settings.xml"/><Relationship Id="rId9" Type="http://schemas.openxmlformats.org/officeDocument/2006/relationships/hyperlink" Target="http://lgpsregs.org/timelineregs/GAD/Reg%2021_GAD_LTA_Add_Cash_Commutation_Guidance.pdf" TargetMode="External"/><Relationship Id="rId14" Type="http://schemas.openxmlformats.org/officeDocument/2006/relationships/hyperlink" Target="http://lgpslibrary.org/assets/bulletins/2015/126.pdf" TargetMode="External"/><Relationship Id="rId22" Type="http://schemas.openxmlformats.org/officeDocument/2006/relationships/hyperlink" Target="http://www.lgpsregs.org/timelineregs/GAD/EW_TVfactors_v41_22021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933B-AC9E-4E4D-935D-4C3CC30F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446871DD</Template>
  <TotalTime>64</TotalTime>
  <Pages>10</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8</cp:revision>
  <dcterms:created xsi:type="dcterms:W3CDTF">2017-05-30T13:42:00Z</dcterms:created>
  <dcterms:modified xsi:type="dcterms:W3CDTF">2017-06-26T08:44:00Z</dcterms:modified>
</cp:coreProperties>
</file>